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418" w:rsidRPr="00440B9F" w:rsidRDefault="00333418" w:rsidP="001761FF">
      <w:pPr>
        <w:pStyle w:val="BodyText"/>
        <w:jc w:val="center"/>
        <w:outlineLvl w:val="0"/>
        <w:rPr>
          <w:rFonts w:ascii="Arial" w:hAnsi="Arial" w:cs="Arial"/>
          <w:b/>
          <w:smallCaps/>
          <w:color w:val="000000"/>
          <w:lang w:val="en-GB"/>
        </w:rPr>
      </w:pPr>
    </w:p>
    <w:p w:rsidR="00333418" w:rsidRPr="00440B9F" w:rsidRDefault="00333418" w:rsidP="001761FF">
      <w:pPr>
        <w:pStyle w:val="BodyText"/>
        <w:jc w:val="center"/>
        <w:outlineLvl w:val="0"/>
        <w:rPr>
          <w:rFonts w:ascii="Arial" w:hAnsi="Arial" w:cs="Arial"/>
          <w:b/>
          <w:smallCaps/>
          <w:color w:val="000000"/>
          <w:lang w:val="en-GB"/>
        </w:rPr>
      </w:pPr>
    </w:p>
    <w:p w:rsidR="00333418" w:rsidRPr="00440B9F" w:rsidRDefault="00333418" w:rsidP="001761FF">
      <w:pPr>
        <w:pStyle w:val="BodyText"/>
        <w:jc w:val="center"/>
        <w:outlineLvl w:val="0"/>
        <w:rPr>
          <w:rFonts w:ascii="Arial" w:hAnsi="Arial" w:cs="Arial"/>
          <w:b/>
          <w:smallCaps/>
          <w:color w:val="000000"/>
          <w:lang w:val="en-GB"/>
        </w:rPr>
      </w:pPr>
    </w:p>
    <w:p w:rsidR="00333418" w:rsidRDefault="00333418" w:rsidP="001761FF">
      <w:pPr>
        <w:pStyle w:val="BodyText"/>
        <w:jc w:val="center"/>
        <w:outlineLvl w:val="0"/>
        <w:rPr>
          <w:rFonts w:ascii="Arial" w:hAnsi="Arial" w:cs="Arial"/>
          <w:b/>
          <w:smallCaps/>
          <w:color w:val="000000"/>
          <w:lang w:val="en-GB"/>
        </w:rPr>
      </w:pPr>
    </w:p>
    <w:p w:rsidR="00333418" w:rsidRDefault="00333418">
      <w:pPr>
        <w:rPr>
          <w:rFonts w:ascii="Arial" w:hAnsi="Arial" w:cs="Arial"/>
          <w:b/>
          <w:smallCaps/>
          <w:color w:val="000000"/>
          <w:lang w:val="en-GB"/>
        </w:rPr>
      </w:pPr>
      <w:r>
        <w:rPr>
          <w:rFonts w:ascii="Arial" w:hAnsi="Arial" w:cs="Arial"/>
          <w:b/>
          <w:smallCaps/>
          <w:color w:val="000000"/>
          <w:lang w:val="en-GB"/>
        </w:rPr>
        <w:br w:type="page"/>
      </w:r>
    </w:p>
    <w:p w:rsidR="00333418" w:rsidRDefault="00333418" w:rsidP="001761FF">
      <w:pPr>
        <w:pStyle w:val="BodyText"/>
        <w:jc w:val="center"/>
        <w:outlineLvl w:val="0"/>
        <w:rPr>
          <w:rFonts w:ascii="Arial" w:hAnsi="Arial" w:cs="Arial"/>
          <w:b/>
          <w:smallCaps/>
          <w:color w:val="000000"/>
          <w:lang w:val="en-GB"/>
        </w:rPr>
      </w:pPr>
    </w:p>
    <w:p w:rsidR="00333418" w:rsidRDefault="00333418" w:rsidP="00855473">
      <w:pPr>
        <w:jc w:val="center"/>
        <w:rPr>
          <w:rFonts w:ascii="Arial" w:hAnsi="Arial" w:cs="Arial"/>
          <w:b/>
          <w:smallCaps/>
          <w:color w:val="000000"/>
          <w:lang w:val="en-GB"/>
        </w:rPr>
      </w:pPr>
    </w:p>
    <w:p w:rsidR="00333418" w:rsidRDefault="00333418" w:rsidP="00855473">
      <w:pPr>
        <w:jc w:val="center"/>
        <w:rPr>
          <w:rFonts w:ascii="Arial" w:hAnsi="Arial" w:cs="Arial"/>
          <w:b/>
          <w:smallCaps/>
          <w:color w:val="000000"/>
          <w:lang w:val="en-GB"/>
        </w:rPr>
      </w:pPr>
    </w:p>
    <w:p w:rsidR="00333418" w:rsidRDefault="00333418" w:rsidP="00855473">
      <w:pPr>
        <w:jc w:val="center"/>
        <w:rPr>
          <w:rFonts w:ascii="Arial" w:hAnsi="Arial" w:cs="Arial"/>
          <w:b/>
          <w:smallCaps/>
          <w:color w:val="000000"/>
          <w:lang w:val="en-GB"/>
        </w:rPr>
      </w:pPr>
    </w:p>
    <w:p w:rsidR="00333418" w:rsidRDefault="00333418" w:rsidP="00855473">
      <w:pPr>
        <w:jc w:val="center"/>
        <w:rPr>
          <w:rFonts w:ascii="Arial" w:hAnsi="Arial" w:cs="Arial"/>
          <w:b/>
          <w:smallCaps/>
          <w:color w:val="000000"/>
          <w:lang w:val="en-GB"/>
        </w:rPr>
      </w:pPr>
    </w:p>
    <w:p w:rsidR="00333418" w:rsidRDefault="00333418" w:rsidP="00855473">
      <w:pPr>
        <w:jc w:val="center"/>
        <w:rPr>
          <w:rFonts w:ascii="Arial" w:hAnsi="Arial" w:cs="Arial"/>
          <w:b/>
          <w:smallCaps/>
          <w:color w:val="000000"/>
          <w:lang w:val="en-GB"/>
        </w:rPr>
      </w:pPr>
    </w:p>
    <w:p w:rsidR="00333418" w:rsidRPr="00440B9F" w:rsidRDefault="00333418" w:rsidP="00855473">
      <w:pPr>
        <w:jc w:val="center"/>
        <w:rPr>
          <w:rFonts w:ascii="Arial" w:hAnsi="Arial" w:cs="Arial"/>
          <w:b/>
          <w:smallCaps/>
          <w:color w:val="000000"/>
          <w:sz w:val="22"/>
          <w:szCs w:val="22"/>
          <w:lang w:val="en-GB"/>
        </w:rPr>
      </w:pPr>
      <w:r>
        <w:rPr>
          <w:rFonts w:ascii="Arial" w:hAnsi="Arial" w:cs="Arial"/>
          <w:b/>
          <w:smallCaps/>
          <w:color w:val="000000"/>
          <w:lang w:val="en-GB"/>
        </w:rPr>
        <w:t>C</w:t>
      </w:r>
      <w:r w:rsidRPr="00440B9F">
        <w:rPr>
          <w:rFonts w:ascii="Arial" w:hAnsi="Arial" w:cs="Arial"/>
          <w:b/>
          <w:smallCaps/>
          <w:color w:val="000000"/>
          <w:sz w:val="22"/>
          <w:szCs w:val="22"/>
          <w:lang w:val="en-GB"/>
        </w:rPr>
        <w:t>hapter Two:</w:t>
      </w:r>
    </w:p>
    <w:p w:rsidR="00333418" w:rsidRPr="00440B9F" w:rsidRDefault="00333418" w:rsidP="001761FF">
      <w:pPr>
        <w:pStyle w:val="BodyText"/>
        <w:jc w:val="center"/>
        <w:outlineLvl w:val="0"/>
        <w:rPr>
          <w:rFonts w:ascii="Arial" w:hAnsi="Arial" w:cs="Arial"/>
          <w:b/>
          <w:smallCaps/>
          <w:color w:val="000000"/>
          <w:sz w:val="22"/>
          <w:szCs w:val="22"/>
          <w:lang w:val="en-GB"/>
        </w:rPr>
      </w:pPr>
      <w:r w:rsidRPr="00440B9F">
        <w:rPr>
          <w:rFonts w:ascii="Arial" w:hAnsi="Arial" w:cs="Arial"/>
          <w:b/>
          <w:smallCaps/>
          <w:color w:val="000000"/>
          <w:sz w:val="22"/>
          <w:szCs w:val="22"/>
          <w:lang w:val="en-GB"/>
        </w:rPr>
        <w:t>The Syrian Context:</w:t>
      </w:r>
    </w:p>
    <w:p w:rsidR="00333418" w:rsidRPr="00440B9F" w:rsidRDefault="00333418" w:rsidP="001761FF">
      <w:pPr>
        <w:pStyle w:val="BodyText"/>
        <w:jc w:val="center"/>
        <w:outlineLvl w:val="0"/>
        <w:rPr>
          <w:rFonts w:ascii="Arial" w:hAnsi="Arial" w:cs="Arial"/>
          <w:b/>
          <w:smallCaps/>
          <w:color w:val="000000"/>
          <w:sz w:val="22"/>
          <w:szCs w:val="22"/>
          <w:lang w:val="en-GB"/>
        </w:rPr>
      </w:pPr>
      <w:r w:rsidRPr="00440B9F">
        <w:rPr>
          <w:rFonts w:ascii="Arial" w:hAnsi="Arial" w:cs="Arial"/>
          <w:b/>
          <w:smallCaps/>
          <w:color w:val="000000"/>
          <w:sz w:val="22"/>
          <w:szCs w:val="22"/>
          <w:lang w:val="en-GB"/>
        </w:rPr>
        <w:t>The Dynamic Space of Mount Lebanon and Beirut</w:t>
      </w:r>
    </w:p>
    <w:p w:rsidR="00333418" w:rsidRPr="00440B9F" w:rsidRDefault="00333418" w:rsidP="001761FF">
      <w:pPr>
        <w:pStyle w:val="BodyText"/>
        <w:jc w:val="both"/>
        <w:rPr>
          <w:rFonts w:ascii="Palatino Linotype" w:hAnsi="Palatino Linotype"/>
          <w:smallCaps/>
          <w:sz w:val="22"/>
          <w:szCs w:val="22"/>
          <w:lang w:val="en-GB"/>
        </w:rPr>
      </w:pPr>
      <w:r w:rsidRPr="00440B9F">
        <w:rPr>
          <w:rFonts w:ascii="Palatino Linotype" w:hAnsi="Palatino Linotype"/>
          <w:smallCaps/>
          <w:sz w:val="22"/>
          <w:szCs w:val="22"/>
          <w:lang w:val="en-GB"/>
        </w:rPr>
        <w:t xml:space="preserve"> </w:t>
      </w:r>
    </w:p>
    <w:p w:rsidR="00333418" w:rsidRPr="00440B9F" w:rsidRDefault="00333418" w:rsidP="001761FF">
      <w:pPr>
        <w:pStyle w:val="BodyText"/>
        <w:jc w:val="both"/>
        <w:rPr>
          <w:rFonts w:ascii="Palatino Linotype" w:hAnsi="Palatino Linotype"/>
          <w:color w:val="000000"/>
          <w:sz w:val="22"/>
          <w:szCs w:val="22"/>
          <w:lang w:val="en-GB"/>
        </w:rPr>
      </w:pPr>
    </w:p>
    <w:p w:rsidR="00333418" w:rsidRPr="00440B9F" w:rsidRDefault="00333418" w:rsidP="001761FF">
      <w:pPr>
        <w:pStyle w:val="BodyText"/>
        <w:jc w:val="both"/>
        <w:rPr>
          <w:rFonts w:ascii="Palatino Linotype" w:hAnsi="Palatino Linotype"/>
          <w:color w:val="000000"/>
          <w:sz w:val="22"/>
          <w:szCs w:val="22"/>
          <w:lang w:val="en-GB"/>
        </w:rPr>
      </w:pPr>
    </w:p>
    <w:p w:rsidR="00333418" w:rsidRPr="00440B9F" w:rsidRDefault="00333418" w:rsidP="001761FF">
      <w:pPr>
        <w:pStyle w:val="BodyText"/>
        <w:jc w:val="both"/>
        <w:rPr>
          <w:rFonts w:ascii="Palatino Linotype" w:hAnsi="Palatino Linotype"/>
          <w:color w:val="000000"/>
          <w:sz w:val="22"/>
          <w:szCs w:val="22"/>
          <w:lang w:val="en-GB"/>
        </w:rPr>
      </w:pPr>
    </w:p>
    <w:p w:rsidR="00333418" w:rsidRPr="00440B9F" w:rsidRDefault="00333418" w:rsidP="001761FF">
      <w:pPr>
        <w:pStyle w:val="BodyText"/>
        <w:jc w:val="both"/>
        <w:rPr>
          <w:rFonts w:ascii="Palatino Linotype" w:hAnsi="Palatino Linotype"/>
          <w:color w:val="000000"/>
          <w:sz w:val="22"/>
          <w:szCs w:val="22"/>
          <w:lang w:val="en-GB"/>
        </w:rPr>
      </w:pPr>
    </w:p>
    <w:p w:rsidR="00333418" w:rsidRPr="00440B9F" w:rsidRDefault="00333418" w:rsidP="001761FF">
      <w:pPr>
        <w:pStyle w:val="BodyText"/>
        <w:jc w:val="both"/>
        <w:rPr>
          <w:rFonts w:ascii="Palatino Linotype" w:hAnsi="Palatino Linotype"/>
          <w:color w:val="000000"/>
          <w:sz w:val="22"/>
          <w:szCs w:val="22"/>
          <w:lang w:val="en-GB"/>
        </w:rPr>
      </w:pPr>
    </w:p>
    <w:p w:rsidR="00333418" w:rsidRPr="00440B9F" w:rsidRDefault="00333418" w:rsidP="001761FF">
      <w:pPr>
        <w:pStyle w:val="BodyText"/>
        <w:jc w:val="both"/>
        <w:rPr>
          <w:rFonts w:ascii="Palatino Linotype" w:hAnsi="Palatino Linotype"/>
          <w:color w:val="000000"/>
          <w:sz w:val="22"/>
          <w:szCs w:val="22"/>
          <w:lang w:val="en-GB"/>
        </w:rPr>
      </w:pPr>
    </w:p>
    <w:p w:rsidR="00333418" w:rsidRPr="00440B9F" w:rsidRDefault="00333418" w:rsidP="001761FF">
      <w:pPr>
        <w:pStyle w:val="BodyText"/>
        <w:jc w:val="both"/>
        <w:rPr>
          <w:rFonts w:ascii="Palatino Linotype" w:hAnsi="Palatino Linotype"/>
          <w:color w:val="000000"/>
          <w:sz w:val="22"/>
          <w:szCs w:val="22"/>
          <w:lang w:val="en-GB"/>
        </w:rPr>
      </w:pPr>
    </w:p>
    <w:p w:rsidR="00333418" w:rsidRPr="00440B9F" w:rsidRDefault="00333418" w:rsidP="001761FF">
      <w:pPr>
        <w:pStyle w:val="BodyText"/>
        <w:jc w:val="both"/>
        <w:rPr>
          <w:rFonts w:ascii="Palatino Linotype" w:hAnsi="Palatino Linotype"/>
          <w:color w:val="000000"/>
          <w:sz w:val="22"/>
          <w:szCs w:val="22"/>
          <w:lang w:val="en-GB"/>
        </w:rPr>
      </w:pP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Nineteenth century Ottoman Syria was a dynamic space, where previous distributions of power unravelled, as new social, political and economic identities emerged. This was the period of the Ottoman </w:t>
      </w:r>
      <w:r w:rsidRPr="00440B9F">
        <w:rPr>
          <w:rFonts w:ascii="Palatino Linotype" w:hAnsi="Palatino Linotype"/>
          <w:i/>
          <w:color w:val="000000"/>
          <w:sz w:val="22"/>
          <w:szCs w:val="22"/>
          <w:lang w:val="en-GB"/>
        </w:rPr>
        <w:t>Tanzimat</w:t>
      </w:r>
      <w:r w:rsidRPr="00440B9F">
        <w:rPr>
          <w:rFonts w:ascii="Palatino Linotype" w:hAnsi="Palatino Linotype"/>
          <w:color w:val="000000"/>
          <w:sz w:val="22"/>
          <w:szCs w:val="22"/>
          <w:lang w:val="en-GB"/>
        </w:rPr>
        <w:t>, which reformed the relationships amongst the Sultan, his subjects and the other residents of the Empire. Civil disputes broke out across Syria, which sent refugees fleeing to Beirut and Damascus, and, when coupled with the movement of individuals in pursuit of economic opportunities, transformed the demographics of the region. It was within this vibrant environment that some residents of Ottoman Syria forged relationships with the ABCFM missionaries and, in turn, created the Protestant Circle.</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The aim of this chapter is to examine different aspects of Ottoman Syria in order to further contextualise the history of the Protestant Circle. The first section analyses the alterations in the political power that governed Ottoman Syria, focusing specifically on the jurisdiction of Mount Lebanon and Beirut during the late eighteenth and early nineteenth centuries.</w:t>
      </w:r>
      <w:r w:rsidRPr="00440B9F">
        <w:rPr>
          <w:rStyle w:val="FootnoteReference"/>
          <w:rFonts w:ascii="Palatino Linotype" w:hAnsi="Palatino Linotype"/>
          <w:color w:val="000000"/>
          <w:sz w:val="22"/>
          <w:szCs w:val="22"/>
          <w:lang w:val="en-GB"/>
        </w:rPr>
        <w:footnoteReference w:id="2"/>
      </w:r>
      <w:r w:rsidRPr="00440B9F">
        <w:rPr>
          <w:rFonts w:ascii="Palatino Linotype" w:hAnsi="Palatino Linotype"/>
          <w:color w:val="000000"/>
          <w:sz w:val="22"/>
          <w:szCs w:val="22"/>
          <w:lang w:val="en-GB"/>
        </w:rPr>
        <w:t xml:space="preserve"> This section shows that by 1860, the previous structure of the </w:t>
      </w:r>
      <w:r w:rsidRPr="00440B9F">
        <w:rPr>
          <w:rFonts w:ascii="Palatino Linotype" w:hAnsi="Palatino Linotype"/>
          <w:i/>
          <w:color w:val="000000"/>
          <w:sz w:val="22"/>
          <w:szCs w:val="22"/>
          <w:lang w:val="en-GB"/>
        </w:rPr>
        <w:t>iqtā‘</w:t>
      </w:r>
      <w:r w:rsidRPr="00440B9F">
        <w:rPr>
          <w:rFonts w:ascii="Palatino Linotype" w:hAnsi="Palatino Linotype"/>
          <w:color w:val="000000"/>
          <w:sz w:val="22"/>
          <w:szCs w:val="22"/>
          <w:lang w:val="en-GB"/>
        </w:rPr>
        <w:t xml:space="preserve"> was undermined by pursuits of regional autonomy, the modifications of economic networks and the assertions of Ottoman imperial interests. The second section focuses upon the Christian communities of the region and examines how both established and newer Churches redefined their identities, as to distinguish themselves from each other and in relation to European forms of Christianity. Women’s religious spaces are specifically addressed to uncover the true complexities of this redefinition process. The third section studies the emergence of Beirut as the primary port city within the region. The transformation of Beirut, from a small village to a cosmopolitan city, sheds light onto how the changes discussed in the first two sections were actualised within this physical space. The fourth, concluding section, reviews Syrians’ perceptions of the United States and Americans during the early nineteenth. Outlining these perceptions reveals why some Syrians chose to associate with the ABCFM missionaries and create the Protestant Circle. It is only through considering these different facets of late eighteenth and early nineteenth century Ottoman Syria that we can explain the emergence of the Protestant Circle, determine how this new group fit into the functioning, but shifting, structures of the region and decipher how the ABCFM missionaries and Syrian members of the Protestant community were perceived by their Syrian neighbours. </w:t>
      </w:r>
    </w:p>
    <w:p w:rsidR="00333418" w:rsidRPr="00440B9F" w:rsidRDefault="00333418" w:rsidP="001761FF">
      <w:pPr>
        <w:pStyle w:val="BodyText"/>
        <w:spacing w:line="360" w:lineRule="auto"/>
        <w:jc w:val="both"/>
        <w:rPr>
          <w:rFonts w:ascii="Palatino Linotype" w:hAnsi="Palatino Linotype"/>
          <w:sz w:val="22"/>
          <w:szCs w:val="22"/>
          <w:lang w:val="en-GB"/>
        </w:rPr>
      </w:pPr>
    </w:p>
    <w:p w:rsidR="00333418" w:rsidRDefault="00333418" w:rsidP="001761FF">
      <w:pPr>
        <w:pStyle w:val="BodyText"/>
        <w:spacing w:line="360" w:lineRule="auto"/>
        <w:jc w:val="both"/>
        <w:rPr>
          <w:rFonts w:ascii="Palatino Linotype" w:hAnsi="Palatino Linotype"/>
          <w:i/>
          <w:smallCaps/>
          <w:color w:val="000000"/>
          <w:lang w:val="en-GB"/>
        </w:rPr>
      </w:pPr>
    </w:p>
    <w:p w:rsidR="00333418" w:rsidRPr="00440B9F" w:rsidRDefault="00333418" w:rsidP="001761FF">
      <w:pPr>
        <w:pStyle w:val="BodyText"/>
        <w:spacing w:line="360" w:lineRule="auto"/>
        <w:jc w:val="center"/>
        <w:outlineLvl w:val="0"/>
        <w:rPr>
          <w:rFonts w:ascii="Arial" w:hAnsi="Arial" w:cs="Arial"/>
          <w:smallCaps/>
          <w:sz w:val="22"/>
          <w:szCs w:val="22"/>
          <w:lang w:val="en-GB"/>
        </w:rPr>
      </w:pPr>
      <w:r w:rsidRPr="00440B9F">
        <w:rPr>
          <w:rFonts w:ascii="Arial" w:hAnsi="Arial" w:cs="Arial"/>
          <w:smallCaps/>
          <w:color w:val="000000"/>
          <w:sz w:val="22"/>
          <w:szCs w:val="22"/>
          <w:lang w:val="en-GB"/>
        </w:rPr>
        <w:t>Reconfiguring Political Power</w:t>
      </w:r>
    </w:p>
    <w:p w:rsidR="00333418" w:rsidRPr="00440B9F" w:rsidRDefault="00333418" w:rsidP="001761FF">
      <w:pPr>
        <w:pStyle w:val="BodyText"/>
        <w:spacing w:line="360" w:lineRule="auto"/>
        <w:jc w:val="both"/>
        <w:rPr>
          <w:rFonts w:ascii="Arial" w:hAnsi="Arial" w:cs="Arial"/>
          <w:i/>
          <w:smallCaps/>
          <w:sz w:val="22"/>
          <w:szCs w:val="22"/>
          <w:lang w:val="en-GB"/>
        </w:rPr>
      </w:pP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 xml:space="preserve">Three systems of political power governed the inhabitants of Ottoman Syria during the late eighteenth and early nineteenth centuries: the </w:t>
      </w:r>
      <w:r w:rsidRPr="00440B9F">
        <w:rPr>
          <w:rFonts w:ascii="Palatino Linotype" w:hAnsi="Palatino Linotype"/>
          <w:i/>
          <w:color w:val="000000"/>
          <w:sz w:val="22"/>
          <w:szCs w:val="22"/>
          <w:lang w:val="en-GB"/>
        </w:rPr>
        <w:t xml:space="preserve">iqtā‘ </w:t>
      </w:r>
      <w:r w:rsidRPr="00440B9F">
        <w:rPr>
          <w:rFonts w:ascii="Palatino Linotype" w:hAnsi="Palatino Linotype"/>
          <w:color w:val="000000"/>
          <w:sz w:val="22"/>
          <w:szCs w:val="22"/>
          <w:lang w:val="en-GB"/>
        </w:rPr>
        <w:t xml:space="preserve">upon Mount Lebanon; the Ottoman imperial authority; and the increasing influence of European, and later American, nations. The first two political structures are introduced in this section, while the latter is examined in other sections of this chapter. This material demonstrates that various struggles and events disrupted the structures of the </w:t>
      </w:r>
      <w:r w:rsidRPr="00440B9F">
        <w:rPr>
          <w:rFonts w:ascii="Palatino Linotype" w:hAnsi="Palatino Linotype"/>
          <w:i/>
          <w:color w:val="000000"/>
          <w:sz w:val="22"/>
          <w:szCs w:val="22"/>
          <w:lang w:val="en-GB"/>
        </w:rPr>
        <w:t>iqtā‘</w:t>
      </w:r>
      <w:r w:rsidRPr="00440B9F">
        <w:rPr>
          <w:rFonts w:ascii="Palatino Linotype" w:hAnsi="Palatino Linotype"/>
          <w:color w:val="000000"/>
          <w:sz w:val="22"/>
          <w:szCs w:val="22"/>
          <w:lang w:val="en-GB"/>
        </w:rPr>
        <w:t xml:space="preserve">, which produced new political identities and the innovative governmental structure, the double </w:t>
      </w:r>
      <w:r w:rsidRPr="00440B9F">
        <w:rPr>
          <w:rFonts w:ascii="Palatino Linotype" w:hAnsi="Palatino Linotype"/>
          <w:i/>
          <w:color w:val="000000"/>
          <w:sz w:val="22"/>
          <w:szCs w:val="22"/>
          <w:lang w:val="en-GB"/>
        </w:rPr>
        <w:t xml:space="preserve">Qa‛im maqāmat, </w:t>
      </w:r>
      <w:r w:rsidRPr="00440B9F">
        <w:rPr>
          <w:rFonts w:ascii="Palatino Linotype" w:hAnsi="Palatino Linotype"/>
          <w:color w:val="000000"/>
          <w:sz w:val="22"/>
          <w:szCs w:val="22"/>
          <w:lang w:val="en-GB"/>
        </w:rPr>
        <w:t>by the mid nineteenth century.</w:t>
      </w:r>
      <w:r w:rsidRPr="00440B9F">
        <w:rPr>
          <w:rStyle w:val="FootnoteReference"/>
          <w:rFonts w:ascii="Palatino Linotype" w:hAnsi="Palatino Linotype"/>
          <w:color w:val="000000"/>
          <w:sz w:val="22"/>
          <w:szCs w:val="22"/>
          <w:lang w:val="en-GB"/>
        </w:rPr>
        <w:footnoteReference w:id="3"/>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 xml:space="preserve">Political governance of Mount Lebanon during the eighteenth century was organised according to the </w:t>
      </w:r>
      <w:r w:rsidRPr="00440B9F">
        <w:rPr>
          <w:rFonts w:ascii="Palatino Linotype" w:hAnsi="Palatino Linotype"/>
          <w:i/>
          <w:color w:val="000000"/>
          <w:sz w:val="22"/>
          <w:szCs w:val="22"/>
          <w:lang w:val="en-GB"/>
        </w:rPr>
        <w:t xml:space="preserve">iqtā‘ </w:t>
      </w:r>
      <w:r w:rsidRPr="00440B9F">
        <w:rPr>
          <w:rFonts w:ascii="Palatino Linotype" w:hAnsi="Palatino Linotype"/>
          <w:color w:val="000000"/>
          <w:sz w:val="22"/>
          <w:szCs w:val="22"/>
          <w:lang w:val="en-GB"/>
        </w:rPr>
        <w:t xml:space="preserve">(tax-farming) system. Although comparable to the </w:t>
      </w:r>
      <w:r w:rsidRPr="00440B9F">
        <w:rPr>
          <w:rFonts w:ascii="Palatino Linotype" w:hAnsi="Palatino Linotype"/>
          <w:i/>
          <w:color w:val="000000"/>
          <w:sz w:val="22"/>
          <w:szCs w:val="22"/>
          <w:lang w:val="en-GB"/>
        </w:rPr>
        <w:t xml:space="preserve">iltizam, </w:t>
      </w:r>
      <w:r w:rsidRPr="00440B9F">
        <w:rPr>
          <w:rFonts w:ascii="Palatino Linotype" w:hAnsi="Palatino Linotype"/>
          <w:color w:val="000000"/>
          <w:sz w:val="22"/>
          <w:szCs w:val="22"/>
          <w:lang w:val="en-GB"/>
        </w:rPr>
        <w:t>which was found in other areas of the Ottoman Empire</w:t>
      </w:r>
      <w:r w:rsidRPr="00440B9F">
        <w:rPr>
          <w:rFonts w:ascii="Palatino Linotype" w:hAnsi="Palatino Linotype"/>
          <w:i/>
          <w:color w:val="000000"/>
          <w:sz w:val="22"/>
          <w:szCs w:val="22"/>
          <w:lang w:val="en-GB"/>
        </w:rPr>
        <w:t>,</w:t>
      </w:r>
      <w:r w:rsidRPr="00440B9F">
        <w:rPr>
          <w:rFonts w:ascii="Palatino Linotype" w:hAnsi="Palatino Linotype"/>
          <w:color w:val="000000"/>
          <w:sz w:val="22"/>
          <w:szCs w:val="22"/>
          <w:lang w:val="en-GB"/>
        </w:rPr>
        <w:t xml:space="preserve"> the </w:t>
      </w:r>
      <w:r w:rsidRPr="00440B9F">
        <w:rPr>
          <w:rFonts w:ascii="Palatino Linotype" w:hAnsi="Palatino Linotype"/>
          <w:i/>
          <w:color w:val="000000"/>
          <w:sz w:val="22"/>
          <w:szCs w:val="22"/>
          <w:lang w:val="en-GB"/>
        </w:rPr>
        <w:t xml:space="preserve">iqtā‘ </w:t>
      </w:r>
      <w:r w:rsidRPr="00440B9F">
        <w:rPr>
          <w:rFonts w:ascii="Palatino Linotype" w:hAnsi="Palatino Linotype"/>
          <w:color w:val="000000"/>
          <w:sz w:val="22"/>
          <w:szCs w:val="22"/>
          <w:lang w:val="en-GB"/>
        </w:rPr>
        <w:t>was specific to the Syria region,</w:t>
      </w:r>
      <w:r w:rsidRPr="00440B9F">
        <w:rPr>
          <w:rStyle w:val="FootnoteReference"/>
          <w:rFonts w:ascii="Palatino Linotype" w:hAnsi="Palatino Linotype"/>
          <w:color w:val="000000"/>
          <w:sz w:val="22"/>
          <w:szCs w:val="22"/>
          <w:lang w:val="en-GB"/>
        </w:rPr>
        <w:footnoteReference w:id="4"/>
      </w:r>
      <w:r w:rsidRPr="00440B9F">
        <w:rPr>
          <w:rFonts w:ascii="Palatino Linotype" w:hAnsi="Palatino Linotype"/>
          <w:color w:val="000000"/>
          <w:sz w:val="22"/>
          <w:szCs w:val="22"/>
          <w:lang w:val="en-GB"/>
        </w:rPr>
        <w:t xml:space="preserve"> for it drew upon local vertical and horizontal alliances, which often breached religious affiliations.</w:t>
      </w:r>
      <w:r w:rsidRPr="00440B9F">
        <w:rPr>
          <w:rFonts w:ascii="Palatino Linotype" w:hAnsi="Palatino Linotype"/>
          <w:color w:val="000000"/>
          <w:sz w:val="22"/>
          <w:szCs w:val="22"/>
          <w:vertAlign w:val="superscript"/>
          <w:lang w:val="en-GB"/>
        </w:rPr>
        <w:footnoteReference w:id="5"/>
      </w:r>
      <w:r w:rsidRPr="00440B9F">
        <w:rPr>
          <w:rFonts w:ascii="Palatino Linotype" w:hAnsi="Palatino Linotype"/>
          <w:color w:val="000000"/>
          <w:sz w:val="22"/>
          <w:szCs w:val="22"/>
          <w:lang w:val="en-GB"/>
        </w:rPr>
        <w:t xml:space="preserve"> Within this system, the </w:t>
      </w:r>
      <w:r w:rsidRPr="00440B9F">
        <w:rPr>
          <w:rFonts w:ascii="Palatino Linotype" w:hAnsi="Palatino Linotype"/>
          <w:i/>
          <w:color w:val="000000"/>
          <w:sz w:val="22"/>
          <w:szCs w:val="22"/>
          <w:lang w:val="en-GB"/>
        </w:rPr>
        <w:t xml:space="preserve">muqata‛jīyyah </w:t>
      </w:r>
      <w:r w:rsidRPr="00440B9F">
        <w:rPr>
          <w:rFonts w:ascii="Palatino Linotype" w:hAnsi="Palatino Linotype"/>
          <w:color w:val="000000"/>
          <w:sz w:val="22"/>
          <w:szCs w:val="22"/>
          <w:lang w:val="en-GB"/>
        </w:rPr>
        <w:t>(landed tax-collectors) held contracts, granted by the Porte, to collect taxes in a specified district or</w:t>
      </w:r>
      <w:r w:rsidRPr="00440B9F">
        <w:rPr>
          <w:rFonts w:ascii="Palatino Linotype" w:hAnsi="Palatino Linotype"/>
          <w:i/>
          <w:color w:val="000000"/>
          <w:sz w:val="22"/>
          <w:szCs w:val="22"/>
          <w:lang w:val="en-GB"/>
        </w:rPr>
        <w:t xml:space="preserve"> muqata‛āt</w:t>
      </w:r>
      <w:r w:rsidRPr="00440B9F">
        <w:rPr>
          <w:rFonts w:ascii="Palatino Linotype" w:hAnsi="Palatino Linotype"/>
          <w:color w:val="000000"/>
          <w:sz w:val="22"/>
          <w:szCs w:val="22"/>
          <w:lang w:val="en-GB"/>
        </w:rPr>
        <w:t xml:space="preserve">. The </w:t>
      </w:r>
      <w:r w:rsidRPr="00440B9F">
        <w:rPr>
          <w:rFonts w:ascii="Palatino Linotype" w:hAnsi="Palatino Linotype"/>
          <w:i/>
          <w:color w:val="000000"/>
          <w:sz w:val="22"/>
          <w:szCs w:val="22"/>
          <w:lang w:val="en-GB"/>
        </w:rPr>
        <w:t xml:space="preserve">muqata‛jīyyah </w:t>
      </w:r>
      <w:r w:rsidRPr="00440B9F">
        <w:rPr>
          <w:rFonts w:ascii="Palatino Linotype" w:hAnsi="Palatino Linotype"/>
          <w:color w:val="000000"/>
          <w:sz w:val="22"/>
          <w:szCs w:val="22"/>
          <w:lang w:val="en-GB"/>
        </w:rPr>
        <w:t xml:space="preserve">also provided judicial services and organised military units to protect the inhabitants of his </w:t>
      </w:r>
      <w:r w:rsidRPr="00440B9F">
        <w:rPr>
          <w:rFonts w:ascii="Palatino Linotype" w:hAnsi="Palatino Linotype"/>
          <w:i/>
          <w:color w:val="000000"/>
          <w:sz w:val="22"/>
          <w:szCs w:val="22"/>
          <w:lang w:val="en-GB"/>
        </w:rPr>
        <w:t>muqata‛āt</w:t>
      </w:r>
      <w:r w:rsidRPr="00440B9F">
        <w:rPr>
          <w:rFonts w:ascii="Palatino Linotype" w:hAnsi="Palatino Linotype"/>
          <w:color w:val="000000"/>
          <w:sz w:val="22"/>
          <w:szCs w:val="22"/>
          <w:lang w:val="en-GB"/>
        </w:rPr>
        <w:t>.</w:t>
      </w:r>
      <w:r w:rsidRPr="00440B9F">
        <w:rPr>
          <w:rStyle w:val="FootnoteReference"/>
          <w:rFonts w:ascii="Palatino Linotype" w:hAnsi="Palatino Linotype"/>
          <w:color w:val="000000"/>
          <w:sz w:val="22"/>
          <w:szCs w:val="22"/>
          <w:lang w:val="en-GB"/>
        </w:rPr>
        <w:footnoteReference w:id="6"/>
      </w:r>
      <w:r w:rsidRPr="00440B9F">
        <w:rPr>
          <w:rFonts w:ascii="Palatino Linotype" w:hAnsi="Palatino Linotype"/>
          <w:color w:val="000000"/>
          <w:sz w:val="22"/>
          <w:szCs w:val="22"/>
          <w:lang w:val="en-GB"/>
        </w:rPr>
        <w:t xml:space="preserve"> Ceremonial gift were exchanged between residents and their </w:t>
      </w:r>
      <w:r w:rsidRPr="00440B9F">
        <w:rPr>
          <w:rFonts w:ascii="Palatino Linotype" w:hAnsi="Palatino Linotype"/>
          <w:i/>
          <w:color w:val="000000"/>
          <w:sz w:val="22"/>
          <w:szCs w:val="22"/>
          <w:lang w:val="en-GB"/>
        </w:rPr>
        <w:t xml:space="preserve">muqata‛jī </w:t>
      </w:r>
      <w:r w:rsidRPr="00440B9F">
        <w:rPr>
          <w:rFonts w:ascii="Palatino Linotype" w:hAnsi="Palatino Linotype"/>
          <w:color w:val="000000"/>
          <w:sz w:val="22"/>
          <w:szCs w:val="22"/>
          <w:lang w:val="en-GB"/>
        </w:rPr>
        <w:t>revealing that this was a link of both loyalty and authority.</w:t>
      </w:r>
      <w:r w:rsidRPr="00440B9F">
        <w:rPr>
          <w:rFonts w:ascii="Palatino Linotype" w:hAnsi="Palatino Linotype"/>
          <w:color w:val="000000"/>
          <w:sz w:val="22"/>
          <w:szCs w:val="22"/>
          <w:vertAlign w:val="superscript"/>
          <w:lang w:val="en-GB"/>
        </w:rPr>
        <w:footnoteReference w:id="7"/>
      </w:r>
      <w:r w:rsidRPr="00440B9F">
        <w:rPr>
          <w:rFonts w:ascii="Palatino Linotype" w:hAnsi="Palatino Linotype"/>
          <w:color w:val="000000"/>
          <w:sz w:val="22"/>
          <w:szCs w:val="22"/>
          <w:lang w:val="en-GB"/>
        </w:rPr>
        <w:t xml:space="preserve"> The </w:t>
      </w:r>
      <w:r w:rsidRPr="00440B9F">
        <w:rPr>
          <w:rFonts w:ascii="Palatino Linotype" w:hAnsi="Palatino Linotype"/>
          <w:i/>
          <w:color w:val="000000"/>
          <w:sz w:val="22"/>
          <w:szCs w:val="22"/>
          <w:lang w:val="en-GB"/>
        </w:rPr>
        <w:t xml:space="preserve">muqata‛jīyyah </w:t>
      </w:r>
      <w:r w:rsidRPr="00440B9F">
        <w:rPr>
          <w:rFonts w:ascii="Palatino Linotype" w:hAnsi="Palatino Linotype"/>
          <w:color w:val="000000"/>
          <w:sz w:val="22"/>
          <w:szCs w:val="22"/>
          <w:lang w:val="en-GB"/>
        </w:rPr>
        <w:t xml:space="preserve">were tied to the religious elite, and together, were regarded as the </w:t>
      </w:r>
      <w:r w:rsidRPr="00440B9F">
        <w:rPr>
          <w:rFonts w:ascii="Palatino Linotype" w:hAnsi="Palatino Linotype"/>
          <w:i/>
          <w:color w:val="000000"/>
          <w:sz w:val="22"/>
          <w:szCs w:val="22"/>
          <w:lang w:val="en-GB"/>
        </w:rPr>
        <w:t>a‛yān</w:t>
      </w:r>
      <w:r w:rsidRPr="00440B9F">
        <w:rPr>
          <w:rFonts w:ascii="Palatino Linotype" w:hAnsi="Palatino Linotype"/>
          <w:color w:val="000000"/>
          <w:sz w:val="22"/>
          <w:szCs w:val="22"/>
          <w:lang w:val="en-GB"/>
        </w:rPr>
        <w:t>, or notables, on Mount Lebanon.</w:t>
      </w:r>
      <w:r w:rsidRPr="00440B9F">
        <w:rPr>
          <w:rFonts w:ascii="Palatino Linotype" w:hAnsi="Palatino Linotype"/>
          <w:color w:val="000000"/>
          <w:sz w:val="22"/>
          <w:szCs w:val="22"/>
          <w:vertAlign w:val="superscript"/>
          <w:lang w:val="en-GB"/>
        </w:rPr>
        <w:footnoteReference w:id="8"/>
      </w:r>
      <w:r w:rsidRPr="00440B9F">
        <w:rPr>
          <w:rFonts w:ascii="Palatino Linotype" w:hAnsi="Palatino Linotype"/>
          <w:color w:val="000000"/>
          <w:sz w:val="22"/>
          <w:szCs w:val="22"/>
          <w:lang w:val="en-GB"/>
        </w:rPr>
        <w:t xml:space="preserve"> Although jurisdiction within each </w:t>
      </w:r>
      <w:r w:rsidRPr="00440B9F">
        <w:rPr>
          <w:rFonts w:ascii="Palatino Linotype" w:hAnsi="Palatino Linotype"/>
          <w:i/>
          <w:color w:val="000000"/>
          <w:sz w:val="22"/>
          <w:szCs w:val="22"/>
          <w:lang w:val="en-GB"/>
        </w:rPr>
        <w:t>muqata‛āt</w:t>
      </w:r>
      <w:r w:rsidRPr="00440B9F">
        <w:rPr>
          <w:rFonts w:ascii="Palatino Linotype" w:hAnsi="Palatino Linotype"/>
          <w:color w:val="000000"/>
          <w:sz w:val="22"/>
          <w:szCs w:val="22"/>
          <w:lang w:val="en-GB"/>
        </w:rPr>
        <w:t xml:space="preserve"> was distinct, a political hierarchy emerged amongst the </w:t>
      </w:r>
      <w:r w:rsidRPr="00440B9F">
        <w:rPr>
          <w:rFonts w:ascii="Palatino Linotype" w:hAnsi="Palatino Linotype"/>
          <w:i/>
          <w:color w:val="000000"/>
          <w:sz w:val="22"/>
          <w:szCs w:val="22"/>
          <w:lang w:val="en-GB"/>
        </w:rPr>
        <w:t>muqata‛jīyyah</w:t>
      </w:r>
      <w:r w:rsidRPr="00440B9F">
        <w:rPr>
          <w:rFonts w:ascii="Palatino Linotype" w:hAnsi="Palatino Linotype"/>
          <w:color w:val="000000"/>
          <w:sz w:val="22"/>
          <w:szCs w:val="22"/>
          <w:lang w:val="en-GB"/>
        </w:rPr>
        <w:t>, which was referred to as the emirate.</w:t>
      </w:r>
      <w:r w:rsidRPr="00440B9F">
        <w:rPr>
          <w:rFonts w:ascii="Palatino Linotype" w:hAnsi="Palatino Linotype"/>
          <w:color w:val="000000"/>
          <w:sz w:val="22"/>
          <w:szCs w:val="22"/>
          <w:vertAlign w:val="superscript"/>
          <w:lang w:val="en-GB"/>
        </w:rPr>
        <w:footnoteReference w:id="9"/>
      </w:r>
      <w:r w:rsidRPr="00440B9F">
        <w:rPr>
          <w:rFonts w:ascii="Palatino Linotype" w:hAnsi="Palatino Linotype"/>
          <w:color w:val="000000"/>
          <w:sz w:val="22"/>
          <w:szCs w:val="22"/>
          <w:lang w:val="en-GB"/>
        </w:rPr>
        <w:t xml:space="preserve"> Disputes over the emirate during the early eighteenth century resulted in the Shihab family becoming the dominate </w:t>
      </w:r>
      <w:r w:rsidRPr="00440B9F">
        <w:rPr>
          <w:rFonts w:ascii="Palatino Linotype" w:hAnsi="Palatino Linotype"/>
          <w:i/>
          <w:color w:val="000000"/>
          <w:sz w:val="22"/>
          <w:szCs w:val="22"/>
          <w:lang w:val="en-GB"/>
        </w:rPr>
        <w:t xml:space="preserve">muqata‛ jī </w:t>
      </w:r>
      <w:r w:rsidRPr="00440B9F">
        <w:rPr>
          <w:rFonts w:ascii="Palatino Linotype" w:hAnsi="Palatino Linotype"/>
          <w:color w:val="000000"/>
          <w:sz w:val="22"/>
          <w:szCs w:val="22"/>
          <w:lang w:val="en-GB"/>
        </w:rPr>
        <w:t xml:space="preserve"> by 1750.</w:t>
      </w:r>
      <w:r w:rsidRPr="00440B9F">
        <w:rPr>
          <w:rFonts w:ascii="Palatino Linotype" w:hAnsi="Palatino Linotype"/>
          <w:color w:val="000000"/>
          <w:sz w:val="22"/>
          <w:szCs w:val="22"/>
          <w:vertAlign w:val="superscript"/>
          <w:lang w:val="en-GB"/>
        </w:rPr>
        <w:footnoteReference w:id="10"/>
      </w:r>
      <w:r w:rsidRPr="00440B9F">
        <w:rPr>
          <w:rFonts w:ascii="Palatino Linotype" w:hAnsi="Palatino Linotype"/>
          <w:color w:val="000000"/>
          <w:sz w:val="22"/>
          <w:szCs w:val="22"/>
          <w:lang w:val="en-GB"/>
        </w:rPr>
        <w:t xml:space="preserve"> While the Shihabs sought to assert autonomous control over Mount Lebanon, the entire </w:t>
      </w:r>
      <w:r w:rsidRPr="00440B9F">
        <w:rPr>
          <w:rFonts w:ascii="Palatino Linotype" w:hAnsi="Palatino Linotype"/>
          <w:i/>
          <w:color w:val="000000"/>
          <w:sz w:val="22"/>
          <w:szCs w:val="22"/>
          <w:lang w:val="en-GB"/>
        </w:rPr>
        <w:t xml:space="preserve">iqtā‘ </w:t>
      </w:r>
      <w:r w:rsidRPr="00440B9F">
        <w:rPr>
          <w:rFonts w:ascii="Palatino Linotype" w:hAnsi="Palatino Linotype"/>
          <w:color w:val="000000"/>
          <w:sz w:val="22"/>
          <w:szCs w:val="22"/>
          <w:lang w:val="en-GB"/>
        </w:rPr>
        <w:t>system remained under the jurisdiction of the Ottoman governor (</w:t>
      </w:r>
      <w:r w:rsidRPr="00440B9F">
        <w:rPr>
          <w:rFonts w:ascii="Palatino Linotype" w:hAnsi="Palatino Linotype"/>
          <w:i/>
          <w:color w:val="000000"/>
          <w:sz w:val="22"/>
          <w:szCs w:val="22"/>
          <w:lang w:val="en-GB"/>
        </w:rPr>
        <w:t>wālī</w:t>
      </w:r>
      <w:r w:rsidRPr="00440B9F">
        <w:rPr>
          <w:rFonts w:ascii="Palatino Linotype" w:hAnsi="Palatino Linotype"/>
          <w:color w:val="000000"/>
          <w:sz w:val="22"/>
          <w:szCs w:val="22"/>
          <w:lang w:val="en-GB"/>
        </w:rPr>
        <w:t>) of Damascus or Sidon (Sayda), depending on the political climate. The governor was the provincial representative of the Sultan and monitored the efficiency of this governmental structure.</w:t>
      </w:r>
      <w:r w:rsidRPr="00440B9F">
        <w:rPr>
          <w:rFonts w:ascii="Palatino Linotype" w:hAnsi="Palatino Linotype"/>
          <w:color w:val="000000"/>
          <w:sz w:val="22"/>
          <w:szCs w:val="22"/>
          <w:vertAlign w:val="superscript"/>
          <w:lang w:val="en-GB"/>
        </w:rPr>
        <w:footnoteReference w:id="11"/>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 xml:space="preserve"> Over the course of the eighteenth and nineteenth centuries, this distribution of power was transformed and eventually undermined. One cause of change resulted from the policies of Ahmed Pasha (al-Jazzar), the </w:t>
      </w:r>
      <w:r w:rsidRPr="00440B9F">
        <w:rPr>
          <w:rFonts w:ascii="Palatino Linotype" w:hAnsi="Palatino Linotype"/>
          <w:i/>
          <w:color w:val="000000"/>
          <w:sz w:val="22"/>
          <w:szCs w:val="22"/>
          <w:lang w:val="en-GB"/>
        </w:rPr>
        <w:t xml:space="preserve">wālī </w:t>
      </w:r>
      <w:r w:rsidRPr="00440B9F">
        <w:rPr>
          <w:rFonts w:ascii="Palatino Linotype" w:hAnsi="Palatino Linotype"/>
          <w:color w:val="000000"/>
          <w:sz w:val="22"/>
          <w:szCs w:val="22"/>
          <w:lang w:val="en-GB"/>
        </w:rPr>
        <w:t xml:space="preserve">of Sidon from 1775 to 1804. During his reign, Al-Jazzar moved the centre of provincial power away from Damascus towards Acre, which (temporarily) became the focus of economic and political power upon the eastern Mediterranean coast. Al-Jazzar’s goal was twofold: to limit the Porte’s rule over the Syrian region and subvert the autonomy of the </w:t>
      </w:r>
      <w:r w:rsidRPr="00440B9F">
        <w:rPr>
          <w:rFonts w:ascii="Palatino Linotype" w:hAnsi="Palatino Linotype"/>
          <w:i/>
          <w:color w:val="000000"/>
          <w:sz w:val="22"/>
          <w:szCs w:val="22"/>
          <w:lang w:val="en-GB"/>
        </w:rPr>
        <w:t>iqtā‘</w:t>
      </w:r>
      <w:r w:rsidRPr="00440B9F">
        <w:rPr>
          <w:rFonts w:ascii="Palatino Linotype" w:hAnsi="Palatino Linotype"/>
          <w:color w:val="000000"/>
          <w:sz w:val="22"/>
          <w:szCs w:val="22"/>
          <w:lang w:val="en-GB"/>
        </w:rPr>
        <w:t xml:space="preserve"> through challenging the authority of the Shihabs. This was done through consolidating the flow of regional taxes and coastal trade through Acre and controlling the then small city of Beirut, which was the closest port for Mount Lebanon.</w:t>
      </w:r>
      <w:r w:rsidRPr="00440B9F">
        <w:rPr>
          <w:rStyle w:val="FootnoteReference"/>
          <w:rFonts w:ascii="Palatino Linotype" w:hAnsi="Palatino Linotype"/>
          <w:color w:val="000000"/>
          <w:sz w:val="22"/>
          <w:szCs w:val="22"/>
          <w:lang w:val="en-GB"/>
        </w:rPr>
        <w:footnoteReference w:id="12"/>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 xml:space="preserve">The </w:t>
      </w:r>
      <w:r w:rsidRPr="00440B9F">
        <w:rPr>
          <w:rFonts w:ascii="Palatino Linotype" w:hAnsi="Palatino Linotype"/>
          <w:i/>
          <w:color w:val="000000"/>
          <w:sz w:val="22"/>
          <w:szCs w:val="22"/>
          <w:lang w:val="en-GB"/>
        </w:rPr>
        <w:t xml:space="preserve">iqtā‘ </w:t>
      </w:r>
      <w:r w:rsidRPr="00440B9F">
        <w:rPr>
          <w:rFonts w:ascii="Palatino Linotype" w:hAnsi="Palatino Linotype"/>
          <w:color w:val="000000"/>
          <w:sz w:val="22"/>
          <w:szCs w:val="22"/>
          <w:lang w:val="en-GB"/>
        </w:rPr>
        <w:t xml:space="preserve">rebounded after the death of Al-Jazzar. The Shihab family, under the charge of Emir Bashir Shihab II (r. 1788-1840), re-established their dominance over the </w:t>
      </w:r>
      <w:r w:rsidRPr="00440B9F">
        <w:rPr>
          <w:rFonts w:ascii="Palatino Linotype" w:hAnsi="Palatino Linotype"/>
          <w:i/>
          <w:color w:val="000000"/>
          <w:sz w:val="22"/>
          <w:szCs w:val="22"/>
          <w:lang w:val="en-GB"/>
        </w:rPr>
        <w:t xml:space="preserve">muqata‛jīyyah </w:t>
      </w:r>
      <w:r w:rsidRPr="00440B9F">
        <w:rPr>
          <w:rFonts w:ascii="Palatino Linotype" w:hAnsi="Palatino Linotype"/>
          <w:color w:val="000000"/>
          <w:sz w:val="22"/>
          <w:szCs w:val="22"/>
          <w:lang w:val="en-GB"/>
        </w:rPr>
        <w:t xml:space="preserve">and the entire Mount Lebanon. Cracks within the </w:t>
      </w:r>
      <w:r w:rsidRPr="00440B9F">
        <w:rPr>
          <w:rFonts w:ascii="Palatino Linotype" w:hAnsi="Palatino Linotype"/>
          <w:i/>
          <w:color w:val="000000"/>
          <w:sz w:val="22"/>
          <w:szCs w:val="22"/>
          <w:lang w:val="en-GB"/>
        </w:rPr>
        <w:t xml:space="preserve">iqtā‘ </w:t>
      </w:r>
      <w:r w:rsidRPr="00440B9F">
        <w:rPr>
          <w:rFonts w:ascii="Palatino Linotype" w:hAnsi="Palatino Linotype"/>
          <w:color w:val="000000"/>
          <w:sz w:val="22"/>
          <w:szCs w:val="22"/>
          <w:lang w:val="en-GB"/>
        </w:rPr>
        <w:t>began to emerge, however. Some peasants on Mount Lebanon protested against their subordinate position within this hierarchy and in 1821 engaged in the Ammiyya Revolt.</w:t>
      </w:r>
      <w:r w:rsidRPr="00440B9F">
        <w:rPr>
          <w:rFonts w:ascii="Palatino Linotype" w:hAnsi="Palatino Linotype"/>
          <w:color w:val="000000"/>
          <w:sz w:val="22"/>
          <w:szCs w:val="22"/>
          <w:vertAlign w:val="superscript"/>
          <w:lang w:val="en-GB"/>
        </w:rPr>
        <w:footnoteReference w:id="13"/>
      </w:r>
      <w:r w:rsidRPr="00440B9F">
        <w:rPr>
          <w:rFonts w:ascii="Palatino Linotype" w:hAnsi="Palatino Linotype"/>
          <w:color w:val="000000"/>
          <w:sz w:val="22"/>
          <w:szCs w:val="22"/>
          <w:lang w:val="en-GB"/>
        </w:rPr>
        <w:t xml:space="preserve"> Haveman argues that this revolt was a reaction to the taxation demands made by Emir Bashir Shihab II, although Khalaf reveals the role of the lower Maronite clergy, particularly Bishop Yusuf Istfan, in spurring the protest against the Maronite elite.</w:t>
      </w:r>
      <w:r w:rsidRPr="00440B9F">
        <w:rPr>
          <w:rFonts w:ascii="Palatino Linotype" w:hAnsi="Palatino Linotype"/>
          <w:color w:val="000000"/>
          <w:sz w:val="22"/>
          <w:szCs w:val="22"/>
          <w:vertAlign w:val="superscript"/>
          <w:lang w:val="en-GB"/>
        </w:rPr>
        <w:footnoteReference w:id="14"/>
      </w:r>
      <w:r w:rsidRPr="00440B9F">
        <w:rPr>
          <w:rFonts w:ascii="Palatino Linotype" w:hAnsi="Palatino Linotype"/>
          <w:color w:val="000000"/>
          <w:sz w:val="22"/>
          <w:szCs w:val="22"/>
          <w:lang w:val="en-GB"/>
        </w:rPr>
        <w:t xml:space="preserve"> Regardless of who instigated the revolt, a group of lower-ranked Maronite clergy and peasants organised themselves into a </w:t>
      </w:r>
      <w:r w:rsidRPr="00440B9F">
        <w:rPr>
          <w:rFonts w:ascii="Palatino Linotype" w:hAnsi="Palatino Linotype"/>
          <w:i/>
          <w:color w:val="000000"/>
          <w:sz w:val="22"/>
          <w:szCs w:val="22"/>
          <w:lang w:val="en-GB"/>
        </w:rPr>
        <w:t>wakīl</w:t>
      </w:r>
      <w:r w:rsidRPr="00440B9F">
        <w:rPr>
          <w:rFonts w:ascii="Palatino Linotype" w:hAnsi="Palatino Linotype"/>
          <w:color w:val="000000"/>
          <w:sz w:val="22"/>
          <w:szCs w:val="22"/>
          <w:lang w:val="en-GB"/>
        </w:rPr>
        <w:t xml:space="preserve"> (representative assembly) and remonstrated against the fiscal abuses enacted by the secular and religious notables.</w:t>
      </w:r>
      <w:r w:rsidRPr="00440B9F">
        <w:rPr>
          <w:rFonts w:ascii="Palatino Linotype" w:hAnsi="Palatino Linotype"/>
          <w:color w:val="000000"/>
          <w:sz w:val="22"/>
          <w:szCs w:val="22"/>
          <w:vertAlign w:val="superscript"/>
          <w:lang w:val="en-GB"/>
        </w:rPr>
        <w:footnoteReference w:id="15"/>
      </w:r>
      <w:r w:rsidRPr="00440B9F">
        <w:rPr>
          <w:rFonts w:ascii="Palatino Linotype" w:hAnsi="Palatino Linotype"/>
          <w:color w:val="000000"/>
          <w:sz w:val="22"/>
          <w:szCs w:val="22"/>
          <w:lang w:val="en-GB"/>
        </w:rPr>
        <w:t xml:space="preserve"> This was one of the earliest hints that at </w:t>
      </w:r>
      <w:r w:rsidRPr="00440B9F">
        <w:rPr>
          <w:rFonts w:ascii="Palatino Linotype" w:hAnsi="Palatino Linotype"/>
          <w:i/>
          <w:color w:val="000000"/>
          <w:sz w:val="22"/>
          <w:szCs w:val="22"/>
          <w:lang w:val="en-GB"/>
        </w:rPr>
        <w:t>iqtā‘</w:t>
      </w:r>
      <w:r w:rsidRPr="00440B9F">
        <w:rPr>
          <w:rFonts w:ascii="Palatino Linotype" w:hAnsi="Palatino Linotype"/>
          <w:color w:val="000000"/>
          <w:sz w:val="22"/>
          <w:szCs w:val="22"/>
          <w:lang w:val="en-GB"/>
        </w:rPr>
        <w:t xml:space="preserve"> structure was fragmenting, for residents of Mount Lebanon organised themselves into new, alternative forms of alliances.</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 xml:space="preserve">In 1831, Muhammed Ali, the </w:t>
      </w:r>
      <w:r w:rsidRPr="00440B9F">
        <w:rPr>
          <w:rFonts w:ascii="Palatino Linotype" w:hAnsi="Palatino Linotype"/>
          <w:i/>
          <w:color w:val="000000"/>
          <w:sz w:val="22"/>
          <w:szCs w:val="22"/>
          <w:lang w:val="en-GB"/>
        </w:rPr>
        <w:t>wālī</w:t>
      </w:r>
      <w:r w:rsidRPr="00440B9F">
        <w:rPr>
          <w:rFonts w:ascii="Palatino Linotype" w:hAnsi="Palatino Linotype"/>
          <w:color w:val="000000"/>
          <w:sz w:val="22"/>
          <w:szCs w:val="22"/>
          <w:lang w:val="en-GB"/>
        </w:rPr>
        <w:t xml:space="preserve"> of Egypt sent his son, Ibrahim Pasha, to attack Acre in an effort to secure his elevated and autonomous position within the Ottoman Empire. Although Muhammed Ali’s stance against the </w:t>
      </w:r>
      <w:r w:rsidRPr="00440B9F">
        <w:rPr>
          <w:rFonts w:ascii="Palatino Linotype" w:hAnsi="Palatino Linotype"/>
          <w:i/>
          <w:color w:val="000000"/>
          <w:sz w:val="22"/>
          <w:szCs w:val="22"/>
          <w:lang w:val="en-GB"/>
        </w:rPr>
        <w:t xml:space="preserve">wālī </w:t>
      </w:r>
      <w:r w:rsidRPr="00440B9F">
        <w:rPr>
          <w:rFonts w:ascii="Palatino Linotype" w:hAnsi="Palatino Linotype"/>
          <w:color w:val="000000"/>
          <w:sz w:val="22"/>
          <w:szCs w:val="22"/>
          <w:lang w:val="en-GB"/>
        </w:rPr>
        <w:t xml:space="preserve">of Sidon was initially supported by many of the </w:t>
      </w:r>
      <w:r w:rsidRPr="00440B9F">
        <w:rPr>
          <w:rFonts w:ascii="Palatino Linotype" w:hAnsi="Palatino Linotype"/>
          <w:i/>
          <w:color w:val="000000"/>
          <w:sz w:val="22"/>
          <w:szCs w:val="22"/>
          <w:lang w:val="en-GB"/>
        </w:rPr>
        <w:t xml:space="preserve">a‛yān </w:t>
      </w:r>
      <w:r w:rsidRPr="00440B9F">
        <w:rPr>
          <w:rFonts w:ascii="Palatino Linotype" w:hAnsi="Palatino Linotype"/>
          <w:color w:val="000000"/>
          <w:sz w:val="22"/>
          <w:szCs w:val="22"/>
          <w:lang w:val="en-GB"/>
        </w:rPr>
        <w:t>on Mount Lebanon, by 1832 the whole of Syria was under Egyptian control.</w:t>
      </w:r>
      <w:r w:rsidRPr="00440B9F">
        <w:rPr>
          <w:rStyle w:val="FootnoteReference"/>
          <w:rFonts w:ascii="Palatino Linotype" w:hAnsi="Palatino Linotype"/>
          <w:color w:val="000000"/>
          <w:sz w:val="22"/>
          <w:szCs w:val="22"/>
          <w:lang w:val="en-GB"/>
        </w:rPr>
        <w:footnoteReference w:id="16"/>
      </w:r>
      <w:r w:rsidRPr="00440B9F">
        <w:rPr>
          <w:rFonts w:ascii="Palatino Linotype" w:hAnsi="Palatino Linotype"/>
          <w:color w:val="000000"/>
          <w:sz w:val="22"/>
          <w:szCs w:val="22"/>
          <w:lang w:val="en-GB"/>
        </w:rPr>
        <w:t xml:space="preserve"> It can be argued that Muhammed Ali’s rule of Mount Lebanon was similar to that of Al-Jazzar, in that his assertion of provincial authority curtailed and manipulated the structures of the </w:t>
      </w:r>
      <w:r w:rsidRPr="00440B9F">
        <w:rPr>
          <w:rFonts w:ascii="Palatino Linotype" w:hAnsi="Palatino Linotype"/>
          <w:i/>
          <w:color w:val="000000"/>
          <w:sz w:val="22"/>
          <w:szCs w:val="22"/>
          <w:lang w:val="en-GB"/>
        </w:rPr>
        <w:t>iqtā‘</w:t>
      </w:r>
      <w:r w:rsidRPr="00440B9F">
        <w:rPr>
          <w:rFonts w:ascii="Palatino Linotype" w:hAnsi="Palatino Linotype"/>
          <w:color w:val="000000"/>
          <w:sz w:val="22"/>
          <w:szCs w:val="22"/>
          <w:lang w:val="en-GB"/>
        </w:rPr>
        <w:t>, although the impact of the Egyptian occupation was more profound and longer-lasting. For example, one of Muhammed Ali’s goals was to reform the economic structures of Mount Lebanon. This was done through applying tax exemptions and resettling farmers to encourage the production of cash crops.</w:t>
      </w:r>
      <w:r w:rsidRPr="00440B9F">
        <w:rPr>
          <w:rFonts w:ascii="Palatino Linotype" w:hAnsi="Palatino Linotype"/>
          <w:color w:val="000000"/>
          <w:sz w:val="22"/>
          <w:szCs w:val="22"/>
          <w:vertAlign w:val="superscript"/>
          <w:lang w:val="en-GB"/>
        </w:rPr>
        <w:footnoteReference w:id="17"/>
      </w:r>
      <w:r w:rsidRPr="00440B9F">
        <w:rPr>
          <w:rFonts w:ascii="Palatino Linotype" w:hAnsi="Palatino Linotype"/>
          <w:color w:val="000000"/>
          <w:sz w:val="22"/>
          <w:szCs w:val="22"/>
          <w:lang w:val="en-GB"/>
        </w:rPr>
        <w:t xml:space="preserve"> Tax collection was also reformed, so that Egyptian troops accompanied the </w:t>
      </w:r>
      <w:r w:rsidRPr="00440B9F">
        <w:rPr>
          <w:rFonts w:ascii="Palatino Linotype" w:hAnsi="Palatino Linotype"/>
          <w:i/>
          <w:color w:val="000000"/>
          <w:sz w:val="22"/>
          <w:szCs w:val="22"/>
          <w:lang w:val="en-GB"/>
        </w:rPr>
        <w:t xml:space="preserve">muqata‛jīyyah </w:t>
      </w:r>
      <w:r w:rsidRPr="00440B9F">
        <w:rPr>
          <w:rFonts w:ascii="Palatino Linotype" w:hAnsi="Palatino Linotype"/>
          <w:color w:val="000000"/>
          <w:sz w:val="22"/>
          <w:szCs w:val="22"/>
          <w:lang w:val="en-GB"/>
        </w:rPr>
        <w:t>during their work.</w:t>
      </w:r>
      <w:r w:rsidRPr="00440B9F">
        <w:rPr>
          <w:rStyle w:val="FootnoteReference"/>
          <w:rFonts w:ascii="Palatino Linotype" w:hAnsi="Palatino Linotype"/>
          <w:color w:val="000000"/>
          <w:sz w:val="22"/>
          <w:szCs w:val="22"/>
          <w:lang w:val="en-GB"/>
        </w:rPr>
        <w:footnoteReference w:id="18"/>
      </w:r>
      <w:r w:rsidRPr="00440B9F">
        <w:rPr>
          <w:rFonts w:ascii="Palatino Linotype" w:hAnsi="Palatino Linotype"/>
          <w:color w:val="000000"/>
          <w:sz w:val="22"/>
          <w:szCs w:val="22"/>
          <w:lang w:val="en-GB"/>
        </w:rPr>
        <w:t xml:space="preserve"> Although this increased revenue, it changed the vertical alliances between the land-tilling peasants</w:t>
      </w:r>
      <w:r w:rsidRPr="00440B9F">
        <w:rPr>
          <w:rFonts w:ascii="Palatino Linotype" w:hAnsi="Palatino Linotype"/>
          <w:i/>
          <w:color w:val="000000"/>
          <w:sz w:val="22"/>
          <w:szCs w:val="22"/>
          <w:lang w:val="en-GB"/>
        </w:rPr>
        <w:t xml:space="preserve"> </w:t>
      </w:r>
      <w:r w:rsidRPr="00440B9F">
        <w:rPr>
          <w:rFonts w:ascii="Palatino Linotype" w:hAnsi="Palatino Linotype"/>
          <w:color w:val="000000"/>
          <w:sz w:val="22"/>
          <w:szCs w:val="22"/>
          <w:lang w:val="en-GB"/>
        </w:rPr>
        <w:t xml:space="preserve">and their </w:t>
      </w:r>
      <w:r w:rsidRPr="00440B9F">
        <w:rPr>
          <w:rFonts w:ascii="Palatino Linotype" w:hAnsi="Palatino Linotype"/>
          <w:i/>
          <w:color w:val="000000"/>
          <w:sz w:val="22"/>
          <w:szCs w:val="22"/>
          <w:lang w:val="en-GB"/>
        </w:rPr>
        <w:t xml:space="preserve">muqata‛ jī </w:t>
      </w:r>
      <w:r w:rsidRPr="00440B9F">
        <w:rPr>
          <w:rFonts w:ascii="Palatino Linotype" w:hAnsi="Palatino Linotype"/>
          <w:color w:val="000000"/>
          <w:sz w:val="22"/>
          <w:szCs w:val="22"/>
          <w:lang w:val="en-GB"/>
        </w:rPr>
        <w:t xml:space="preserve">from a personal to a more detached and increasingly confrontational relationship.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ab/>
        <w:t xml:space="preserve">While social prestige remained with the </w:t>
      </w:r>
      <w:r w:rsidRPr="00440B9F">
        <w:rPr>
          <w:rFonts w:ascii="Palatino Linotype" w:hAnsi="Palatino Linotype"/>
          <w:i/>
          <w:color w:val="000000"/>
          <w:sz w:val="22"/>
          <w:szCs w:val="22"/>
          <w:lang w:val="en-GB"/>
        </w:rPr>
        <w:t>a‛yān,</w:t>
      </w:r>
      <w:r w:rsidRPr="00440B9F">
        <w:rPr>
          <w:rFonts w:ascii="Palatino Linotype" w:hAnsi="Palatino Linotype"/>
          <w:color w:val="000000"/>
          <w:sz w:val="22"/>
          <w:szCs w:val="22"/>
          <w:lang w:val="en-GB"/>
        </w:rPr>
        <w:t xml:space="preserve"> these changes, coupled with the costs of repeated warfare, left many of the </w:t>
      </w:r>
      <w:r w:rsidRPr="00440B9F">
        <w:rPr>
          <w:rFonts w:ascii="Palatino Linotype" w:hAnsi="Palatino Linotype"/>
          <w:i/>
          <w:color w:val="000000"/>
          <w:sz w:val="22"/>
          <w:szCs w:val="22"/>
          <w:lang w:val="en-GB"/>
        </w:rPr>
        <w:t xml:space="preserve">muqata‛jīyyah </w:t>
      </w:r>
      <w:r w:rsidRPr="00440B9F">
        <w:rPr>
          <w:rFonts w:ascii="Palatino Linotype" w:hAnsi="Palatino Linotype"/>
          <w:color w:val="000000"/>
          <w:sz w:val="22"/>
          <w:szCs w:val="22"/>
          <w:lang w:val="en-GB"/>
        </w:rPr>
        <w:t>economically desolate. In contrast, Muhammed Ali’s policies encouraged the emergence of a new middle class.</w:t>
      </w:r>
      <w:r w:rsidRPr="00440B9F">
        <w:rPr>
          <w:rFonts w:ascii="Palatino Linotype" w:hAnsi="Palatino Linotype"/>
          <w:color w:val="000000"/>
          <w:sz w:val="22"/>
          <w:szCs w:val="22"/>
          <w:vertAlign w:val="superscript"/>
          <w:lang w:val="en-GB"/>
        </w:rPr>
        <w:footnoteReference w:id="19"/>
      </w:r>
      <w:r w:rsidRPr="00440B9F">
        <w:rPr>
          <w:rFonts w:ascii="Palatino Linotype" w:hAnsi="Palatino Linotype"/>
          <w:color w:val="000000"/>
          <w:sz w:val="22"/>
          <w:szCs w:val="22"/>
          <w:lang w:val="en-GB"/>
        </w:rPr>
        <w:t xml:space="preserve"> Literate polyglots were employed by the new European and American residents, which enabled many Syrian to secure </w:t>
      </w:r>
      <w:r w:rsidRPr="00440B9F">
        <w:rPr>
          <w:rFonts w:ascii="Palatino Linotype" w:hAnsi="Palatino Linotype"/>
          <w:i/>
          <w:color w:val="000000"/>
          <w:sz w:val="22"/>
          <w:szCs w:val="22"/>
          <w:lang w:val="en-GB"/>
        </w:rPr>
        <w:t>berāt</w:t>
      </w:r>
      <w:r w:rsidRPr="00440B9F">
        <w:rPr>
          <w:rFonts w:ascii="Palatino Linotype" w:hAnsi="Palatino Linotype"/>
          <w:color w:val="000000"/>
          <w:sz w:val="22"/>
          <w:szCs w:val="22"/>
          <w:lang w:val="en-GB"/>
        </w:rPr>
        <w:t>, or letters of protection that placed them under the legal jurisdiction of their affiliated foreign nation and exempt from certain taxes.</w:t>
      </w:r>
      <w:r w:rsidRPr="00440B9F">
        <w:rPr>
          <w:rStyle w:val="FootnoteReference"/>
          <w:rFonts w:ascii="Palatino Linotype" w:hAnsi="Palatino Linotype"/>
          <w:color w:val="000000"/>
          <w:sz w:val="22"/>
          <w:szCs w:val="22"/>
          <w:lang w:val="en-GB"/>
        </w:rPr>
        <w:footnoteReference w:id="20"/>
      </w:r>
      <w:r w:rsidRPr="00440B9F">
        <w:rPr>
          <w:rFonts w:ascii="Palatino Linotype" w:hAnsi="Palatino Linotype"/>
          <w:color w:val="000000"/>
          <w:sz w:val="22"/>
          <w:szCs w:val="22"/>
          <w:lang w:val="en-GB"/>
        </w:rPr>
        <w:t xml:space="preserve"> Other Syrians established commercial firms, particularly for silk production and trade, in which they forged independent links to European markets and also secured </w:t>
      </w:r>
      <w:r w:rsidRPr="00440B9F">
        <w:rPr>
          <w:rFonts w:ascii="Palatino Linotype" w:hAnsi="Palatino Linotype"/>
          <w:i/>
          <w:color w:val="000000"/>
          <w:sz w:val="22"/>
          <w:szCs w:val="22"/>
          <w:lang w:val="en-GB"/>
        </w:rPr>
        <w:t>berāth</w:t>
      </w:r>
      <w:r w:rsidRPr="00440B9F">
        <w:rPr>
          <w:rFonts w:ascii="Palatino Linotype" w:hAnsi="Palatino Linotype"/>
          <w:color w:val="000000"/>
          <w:sz w:val="22"/>
          <w:szCs w:val="22"/>
          <w:lang w:val="en-GB"/>
        </w:rPr>
        <w:t xml:space="preserve"> status (one who holds </w:t>
      </w:r>
      <w:r w:rsidRPr="00440B9F">
        <w:rPr>
          <w:rFonts w:ascii="Palatino Linotype" w:hAnsi="Palatino Linotype"/>
          <w:i/>
          <w:color w:val="000000"/>
          <w:sz w:val="22"/>
          <w:szCs w:val="22"/>
          <w:lang w:val="en-GB"/>
        </w:rPr>
        <w:t>berāt</w:t>
      </w:r>
      <w:r w:rsidRPr="00440B9F">
        <w:rPr>
          <w:rFonts w:ascii="Palatino Linotype" w:hAnsi="Palatino Linotype"/>
          <w:color w:val="000000"/>
          <w:sz w:val="22"/>
          <w:szCs w:val="22"/>
          <w:lang w:val="en-GB"/>
        </w:rPr>
        <w:t>).</w:t>
      </w:r>
      <w:r w:rsidRPr="00440B9F">
        <w:rPr>
          <w:rStyle w:val="FootnoteReference"/>
          <w:rFonts w:ascii="Palatino Linotype" w:hAnsi="Palatino Linotype"/>
          <w:color w:val="000000"/>
          <w:sz w:val="22"/>
          <w:szCs w:val="22"/>
          <w:lang w:val="en-GB"/>
        </w:rPr>
        <w:footnoteReference w:id="21"/>
      </w:r>
      <w:r w:rsidRPr="00440B9F">
        <w:rPr>
          <w:rFonts w:ascii="Palatino Linotype" w:hAnsi="Palatino Linotype"/>
          <w:color w:val="000000"/>
          <w:sz w:val="22"/>
          <w:szCs w:val="22"/>
          <w:lang w:val="en-GB"/>
        </w:rPr>
        <w:t xml:space="preserve"> These new roles not only increased a person’s private wealth, but encouraged a change in residency, for many relocated from their mountain villages to coastal cities, such as Beirut and Sidon. As Philipp argues in regards to eighteenth century Acre, such mobility frustrated the depths of both established and new political alliances.</w:t>
      </w:r>
      <w:r w:rsidRPr="00440B9F">
        <w:rPr>
          <w:rStyle w:val="FootnoteReference"/>
          <w:rFonts w:ascii="Palatino Linotype" w:hAnsi="Palatino Linotype"/>
          <w:color w:val="000000"/>
          <w:sz w:val="22"/>
          <w:szCs w:val="22"/>
          <w:lang w:val="en-GB"/>
        </w:rPr>
        <w:footnoteReference w:id="22"/>
      </w:r>
      <w:r w:rsidRPr="00440B9F">
        <w:rPr>
          <w:rFonts w:ascii="Palatino Linotype" w:hAnsi="Palatino Linotype"/>
          <w:color w:val="000000"/>
          <w:sz w:val="22"/>
          <w:szCs w:val="22"/>
          <w:lang w:val="en-GB"/>
        </w:rPr>
        <w:t xml:space="preserve"> Thus, a new middle class emerged while the functioning political hierarchy of Mount Lebanon unravelled.</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ab/>
        <w:t xml:space="preserve"> Another change implemented by Ibrahim Pasha during the Egyptian occupation was the inclusion of Christian and Druze men in corvée and conscription policies. Classified as </w:t>
      </w:r>
      <w:r w:rsidRPr="00440B9F">
        <w:rPr>
          <w:rFonts w:ascii="Palatino Linotype" w:hAnsi="Palatino Linotype"/>
          <w:i/>
          <w:color w:val="000000"/>
          <w:sz w:val="22"/>
          <w:szCs w:val="22"/>
          <w:lang w:val="en-GB"/>
        </w:rPr>
        <w:t>dhimm</w:t>
      </w:r>
      <w:r w:rsidRPr="00440B9F">
        <w:rPr>
          <w:rFonts w:ascii="Palatino Linotype" w:hAnsi="Palatino Linotype"/>
          <w:bCs/>
          <w:i/>
          <w:color w:val="000000"/>
          <w:sz w:val="22"/>
          <w:szCs w:val="22"/>
          <w:lang w:val="en-GB"/>
        </w:rPr>
        <w:t>ī</w:t>
      </w:r>
      <w:r w:rsidRPr="00440B9F">
        <w:rPr>
          <w:rFonts w:ascii="Palatino Linotype" w:hAnsi="Palatino Linotype"/>
          <w:color w:val="000000"/>
          <w:sz w:val="22"/>
          <w:szCs w:val="22"/>
          <w:lang w:val="en-GB"/>
        </w:rPr>
        <w:t>, Christians living in the Ottoman Empire paid a head tax, which often exempt them from state military service.</w:t>
      </w:r>
      <w:r w:rsidRPr="00440B9F">
        <w:rPr>
          <w:rStyle w:val="FootnoteReference"/>
          <w:rFonts w:ascii="Palatino Linotype" w:hAnsi="Palatino Linotype"/>
          <w:color w:val="000000"/>
          <w:sz w:val="22"/>
          <w:szCs w:val="22"/>
          <w:lang w:val="en-GB"/>
        </w:rPr>
        <w:footnoteReference w:id="23"/>
      </w:r>
      <w:r w:rsidRPr="00440B9F">
        <w:rPr>
          <w:rFonts w:ascii="Palatino Linotype" w:hAnsi="Palatino Linotype"/>
          <w:color w:val="000000"/>
          <w:sz w:val="22"/>
          <w:szCs w:val="22"/>
          <w:lang w:val="en-GB"/>
        </w:rPr>
        <w:t xml:space="preserve"> Throughout the 1830s however, foreigners reported that young Christian men were seized to work in new factories or conscripted into the Egyptian army.</w:t>
      </w:r>
      <w:r w:rsidRPr="00440B9F">
        <w:rPr>
          <w:rStyle w:val="FootnoteReference"/>
          <w:rFonts w:ascii="Palatino Linotype" w:hAnsi="Palatino Linotype"/>
          <w:color w:val="000000"/>
          <w:sz w:val="22"/>
          <w:szCs w:val="22"/>
          <w:lang w:val="en-GB"/>
        </w:rPr>
        <w:footnoteReference w:id="24"/>
      </w:r>
      <w:r w:rsidRPr="00440B9F">
        <w:rPr>
          <w:rFonts w:ascii="Palatino Linotype" w:hAnsi="Palatino Linotype"/>
          <w:color w:val="000000"/>
          <w:sz w:val="22"/>
          <w:szCs w:val="22"/>
          <w:lang w:val="en-GB"/>
        </w:rPr>
        <w:t xml:space="preserve"> These men were often released, but only after prolonged protestation that they were indeed Christian, leaving many with a lingering fear of subsequent imprisonment. The Egyptians also conscripted a number of Druze men who were previously exempt from military service due to their position as heterodox Muslims.</w:t>
      </w:r>
      <w:r w:rsidRPr="00440B9F">
        <w:rPr>
          <w:rStyle w:val="FootnoteReference"/>
          <w:rFonts w:ascii="Palatino Linotype" w:hAnsi="Palatino Linotype"/>
          <w:color w:val="000000"/>
          <w:sz w:val="22"/>
          <w:szCs w:val="22"/>
          <w:lang w:val="en-GB"/>
        </w:rPr>
        <w:footnoteReference w:id="25"/>
      </w:r>
      <w:r w:rsidRPr="00440B9F">
        <w:rPr>
          <w:rFonts w:ascii="Palatino Linotype" w:hAnsi="Palatino Linotype"/>
          <w:color w:val="000000"/>
          <w:sz w:val="22"/>
          <w:szCs w:val="22"/>
          <w:lang w:val="en-GB"/>
        </w:rPr>
        <w:t xml:space="preserve"> Many Druze remonstrated against their change of status, so that some ‘rejected’ their Muslim identity and converted to Christianity,</w:t>
      </w:r>
      <w:r w:rsidRPr="00440B9F">
        <w:rPr>
          <w:rStyle w:val="FootnoteReference"/>
          <w:rFonts w:ascii="Palatino Linotype" w:hAnsi="Palatino Linotype"/>
          <w:color w:val="000000"/>
          <w:sz w:val="22"/>
          <w:szCs w:val="22"/>
          <w:lang w:val="en-GB"/>
        </w:rPr>
        <w:footnoteReference w:id="26"/>
      </w:r>
      <w:r w:rsidRPr="00440B9F">
        <w:rPr>
          <w:rFonts w:ascii="Palatino Linotype" w:hAnsi="Palatino Linotype"/>
          <w:color w:val="000000"/>
          <w:sz w:val="22"/>
          <w:szCs w:val="22"/>
          <w:lang w:val="en-GB"/>
        </w:rPr>
        <w:t xml:space="preserve"> while others engaged in open revolt. In 1834, the Druze of northern Palestine aligned with groups of Bedouin and revolted against the Egyptian policies.</w:t>
      </w:r>
      <w:r w:rsidRPr="00440B9F">
        <w:rPr>
          <w:rStyle w:val="FootnoteReference"/>
          <w:rFonts w:ascii="Palatino Linotype" w:hAnsi="Palatino Linotype"/>
          <w:color w:val="000000"/>
          <w:sz w:val="22"/>
          <w:szCs w:val="22"/>
          <w:lang w:val="en-GB"/>
        </w:rPr>
        <w:footnoteReference w:id="27"/>
      </w:r>
      <w:r w:rsidRPr="00440B9F">
        <w:rPr>
          <w:rFonts w:ascii="Palatino Linotype" w:hAnsi="Palatino Linotype"/>
          <w:color w:val="000000"/>
          <w:sz w:val="22"/>
          <w:szCs w:val="22"/>
          <w:lang w:val="en-GB"/>
        </w:rPr>
        <w:t xml:space="preserve"> This resulted in Ibrahim Pasha disarming Mount Lebanon.</w:t>
      </w:r>
      <w:r w:rsidRPr="00440B9F">
        <w:rPr>
          <w:rStyle w:val="FootnoteReference"/>
          <w:rFonts w:ascii="Palatino Linotype" w:hAnsi="Palatino Linotype"/>
          <w:color w:val="000000"/>
          <w:sz w:val="22"/>
          <w:szCs w:val="22"/>
          <w:lang w:val="en-GB"/>
        </w:rPr>
        <w:footnoteReference w:id="28"/>
      </w:r>
      <w:r w:rsidRPr="00440B9F">
        <w:rPr>
          <w:rFonts w:ascii="Palatino Linotype" w:hAnsi="Palatino Linotype"/>
          <w:color w:val="000000"/>
          <w:sz w:val="22"/>
          <w:szCs w:val="22"/>
          <w:lang w:val="en-GB"/>
        </w:rPr>
        <w:t xml:space="preserve"> In 1838, the Druze from Hawran instigated a separate revolt, which prompted the repeal of the disarmament programme and the enlistment of Christians and ‘pro-Christians Muslims’ from the Shihab family to fight against the insurgent Druzes.</w:t>
      </w:r>
      <w:r w:rsidRPr="00440B9F">
        <w:rPr>
          <w:rStyle w:val="FootnoteReference"/>
          <w:rFonts w:ascii="Palatino Linotype" w:hAnsi="Palatino Linotype"/>
          <w:color w:val="000000"/>
          <w:sz w:val="22"/>
          <w:szCs w:val="22"/>
          <w:lang w:val="en-GB"/>
        </w:rPr>
        <w:footnoteReference w:id="29"/>
      </w:r>
      <w:r w:rsidRPr="00440B9F">
        <w:rPr>
          <w:rFonts w:ascii="Palatino Linotype" w:hAnsi="Palatino Linotype"/>
          <w:color w:val="000000"/>
          <w:sz w:val="22"/>
          <w:szCs w:val="22"/>
          <w:lang w:val="en-GB"/>
        </w:rPr>
        <w:t xml:space="preserve"> Although ending in negotiation, this revolt, and the Egyptians’ response, was important for religious commitment, instead of geographic-personal loyalties, was employed to create military alliances, which pitted Syrians against Syrians.</w:t>
      </w:r>
      <w:r w:rsidRPr="00440B9F">
        <w:rPr>
          <w:rStyle w:val="FootnoteReference"/>
          <w:rFonts w:ascii="Palatino Linotype" w:hAnsi="Palatino Linotype"/>
          <w:color w:val="000000"/>
          <w:sz w:val="22"/>
          <w:szCs w:val="22"/>
          <w:lang w:val="en-GB"/>
        </w:rPr>
        <w:footnoteReference w:id="30"/>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The 1838 revolt also revealed the limits of Muhammed Ali’s power over Syria. In May 1840, lower ranked Maronite clergy near Deir al-Qamar revolted against Egyptian rule.</w:t>
      </w:r>
      <w:r w:rsidRPr="00440B9F">
        <w:rPr>
          <w:rFonts w:ascii="Palatino Linotype" w:hAnsi="Palatino Linotype"/>
          <w:color w:val="000000"/>
          <w:sz w:val="22"/>
          <w:szCs w:val="22"/>
          <w:vertAlign w:val="superscript"/>
          <w:lang w:val="en-GB"/>
        </w:rPr>
        <w:footnoteReference w:id="31"/>
      </w:r>
      <w:r w:rsidRPr="00440B9F">
        <w:rPr>
          <w:rFonts w:ascii="Palatino Linotype" w:hAnsi="Palatino Linotype"/>
          <w:color w:val="000000"/>
          <w:sz w:val="22"/>
          <w:szCs w:val="22"/>
          <w:lang w:val="en-GB"/>
        </w:rPr>
        <w:t xml:space="preserve"> This group eventually gained the support of the Maronite Patriarch,</w:t>
      </w:r>
      <w:r w:rsidRPr="00440B9F">
        <w:rPr>
          <w:rFonts w:ascii="Palatino Linotype" w:hAnsi="Palatino Linotype"/>
          <w:sz w:val="22"/>
          <w:szCs w:val="22"/>
          <w:lang w:val="en-GB"/>
        </w:rPr>
        <w:t xml:space="preserve"> other Christian </w:t>
      </w:r>
      <w:r w:rsidRPr="00440B9F">
        <w:rPr>
          <w:rFonts w:ascii="Palatino Linotype" w:hAnsi="Palatino Linotype"/>
          <w:i/>
          <w:sz w:val="22"/>
          <w:szCs w:val="22"/>
          <w:lang w:val="en-GB"/>
        </w:rPr>
        <w:t>muqata‛jīyyah</w:t>
      </w:r>
      <w:r w:rsidRPr="00440B9F">
        <w:rPr>
          <w:rFonts w:ascii="Palatino Linotype" w:hAnsi="Palatino Linotype"/>
          <w:sz w:val="22"/>
          <w:szCs w:val="22"/>
          <w:lang w:val="en-GB"/>
        </w:rPr>
        <w:t>, the Druze Abu Nakad family and possibly some groups of Druze, Sunni and Shi</w:t>
      </w:r>
      <w:r w:rsidRPr="00440B9F">
        <w:rPr>
          <w:rFonts w:ascii="Palatino Linotype" w:hAnsi="Palatino Linotype"/>
          <w:i/>
          <w:sz w:val="22"/>
          <w:szCs w:val="22"/>
          <w:lang w:val="en-GB"/>
        </w:rPr>
        <w:t>‛</w:t>
      </w:r>
      <w:r w:rsidRPr="00440B9F">
        <w:rPr>
          <w:rFonts w:ascii="Palatino Linotype" w:hAnsi="Palatino Linotype"/>
          <w:sz w:val="22"/>
          <w:szCs w:val="22"/>
          <w:lang w:val="en-GB"/>
        </w:rPr>
        <w:t>a.</w:t>
      </w:r>
      <w:r w:rsidRPr="00440B9F">
        <w:rPr>
          <w:rStyle w:val="FootnoteReference"/>
          <w:rFonts w:ascii="Palatino Linotype" w:hAnsi="Palatino Linotype"/>
          <w:sz w:val="22"/>
          <w:szCs w:val="22"/>
          <w:lang w:val="en-GB"/>
        </w:rPr>
        <w:footnoteReference w:id="32"/>
      </w:r>
      <w:r w:rsidRPr="00440B9F">
        <w:rPr>
          <w:rFonts w:ascii="Palatino Linotype" w:hAnsi="Palatino Linotype"/>
          <w:sz w:val="22"/>
          <w:szCs w:val="22"/>
          <w:lang w:val="en-GB"/>
        </w:rPr>
        <w:t xml:space="preserve"> Troops were sent by Muhammed Ali from Egypt to contain this latest insurgence.</w:t>
      </w:r>
      <w:r w:rsidRPr="00440B9F">
        <w:rPr>
          <w:rStyle w:val="FootnoteReference"/>
          <w:rFonts w:ascii="Palatino Linotype" w:hAnsi="Palatino Linotype"/>
          <w:sz w:val="22"/>
          <w:szCs w:val="22"/>
          <w:lang w:val="en-GB"/>
        </w:rPr>
        <w:footnoteReference w:id="33"/>
      </w:r>
      <w:r w:rsidRPr="00440B9F">
        <w:rPr>
          <w:rFonts w:ascii="Palatino Linotype" w:hAnsi="Palatino Linotype"/>
          <w:sz w:val="22"/>
          <w:szCs w:val="22"/>
          <w:lang w:val="en-GB"/>
        </w:rPr>
        <w:t xml:space="preserve"> Instigated by fears that Muhammed Ali’s consolidation of political power and assertions of military strength threatened their own imperial interests, England, Russia, Prussia and Austria formed a Quadruple Alliance, and, with the support of the Porte, agreed to expel the Egyptians from Syria.</w:t>
      </w:r>
      <w:r w:rsidRPr="00440B9F">
        <w:rPr>
          <w:rStyle w:val="FootnoteReference"/>
          <w:rFonts w:ascii="Palatino Linotype" w:hAnsi="Palatino Linotype"/>
          <w:sz w:val="22"/>
          <w:szCs w:val="22"/>
          <w:lang w:val="en-GB"/>
        </w:rPr>
        <w:footnoteReference w:id="34"/>
      </w:r>
      <w:r w:rsidRPr="00440B9F">
        <w:rPr>
          <w:rFonts w:ascii="Palatino Linotype" w:hAnsi="Palatino Linotype"/>
          <w:sz w:val="22"/>
          <w:szCs w:val="22"/>
          <w:lang w:val="en-GB"/>
        </w:rPr>
        <w:t xml:space="preserve"> In turn, the Europeans supplied arms to those already engaged in revolt and bombarded Beirut in September 1840, which forced Ibrahim Pasha and Muhammed Ali’s army back to Egypt.</w:t>
      </w:r>
      <w:r w:rsidRPr="00440B9F">
        <w:rPr>
          <w:rStyle w:val="FootnoteReference"/>
          <w:rFonts w:ascii="Palatino Linotype" w:hAnsi="Palatino Linotype"/>
          <w:sz w:val="22"/>
          <w:szCs w:val="22"/>
          <w:lang w:val="en-GB"/>
        </w:rPr>
        <w:footnoteReference w:id="35"/>
      </w:r>
      <w:r w:rsidRPr="00440B9F">
        <w:rPr>
          <w:rFonts w:ascii="Palatino Linotype" w:hAnsi="Palatino Linotype"/>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Douwes recognised that ‘[the] occupation of Syria...by the armies of Muhammed Ali Pasha served as a strong impetus for the central [Ottoman] authorities to formulate new policies, partly in order to mobilise foreign support for their cause.’</w:t>
      </w:r>
      <w:r w:rsidRPr="00440B9F">
        <w:rPr>
          <w:rStyle w:val="FootnoteReference"/>
          <w:rFonts w:ascii="Palatino Linotype" w:hAnsi="Palatino Linotype"/>
          <w:sz w:val="22"/>
          <w:szCs w:val="22"/>
          <w:lang w:val="en-GB"/>
        </w:rPr>
        <w:footnoteReference w:id="36"/>
      </w:r>
      <w:r w:rsidRPr="00440B9F">
        <w:rPr>
          <w:rFonts w:ascii="Palatino Linotype" w:hAnsi="Palatino Linotype"/>
          <w:sz w:val="22"/>
          <w:szCs w:val="22"/>
          <w:lang w:val="en-GB"/>
        </w:rPr>
        <w:t xml:space="preserve"> While many of the ideological tenets that defined the period of reforms referred to as the </w:t>
      </w:r>
      <w:r w:rsidRPr="00440B9F">
        <w:rPr>
          <w:rFonts w:ascii="Palatino Linotype" w:hAnsi="Palatino Linotype"/>
          <w:i/>
          <w:sz w:val="22"/>
          <w:szCs w:val="22"/>
          <w:lang w:val="en-GB"/>
        </w:rPr>
        <w:t>Tanzimat</w:t>
      </w:r>
      <w:r w:rsidRPr="00440B9F">
        <w:rPr>
          <w:rFonts w:ascii="Palatino Linotype" w:hAnsi="Palatino Linotype"/>
          <w:sz w:val="22"/>
          <w:szCs w:val="22"/>
          <w:lang w:val="en-GB"/>
        </w:rPr>
        <w:t xml:space="preserve"> can be found in earlier imperial decrees,</w:t>
      </w:r>
      <w:r w:rsidRPr="00440B9F">
        <w:rPr>
          <w:rStyle w:val="FootnoteReference"/>
          <w:rFonts w:ascii="Palatino Linotype" w:hAnsi="Palatino Linotype"/>
          <w:sz w:val="22"/>
          <w:szCs w:val="22"/>
          <w:lang w:val="en-GB"/>
        </w:rPr>
        <w:footnoteReference w:id="37"/>
      </w:r>
      <w:r w:rsidRPr="00440B9F">
        <w:rPr>
          <w:rFonts w:ascii="Palatino Linotype" w:hAnsi="Palatino Linotype"/>
          <w:sz w:val="22"/>
          <w:szCs w:val="22"/>
          <w:lang w:val="en-GB"/>
        </w:rPr>
        <w:t xml:space="preserve"> the pronouncement of the </w:t>
      </w:r>
      <w:r w:rsidRPr="00440B9F">
        <w:rPr>
          <w:rFonts w:ascii="Palatino Linotype" w:hAnsi="Palatino Linotype"/>
          <w:i/>
          <w:sz w:val="22"/>
          <w:szCs w:val="22"/>
          <w:lang w:val="en-GB"/>
        </w:rPr>
        <w:t>Hatt-ı Sherif</w:t>
      </w:r>
      <w:r w:rsidRPr="00440B9F">
        <w:rPr>
          <w:rFonts w:ascii="Palatino Linotype" w:hAnsi="Palatino Linotype"/>
          <w:sz w:val="22"/>
          <w:szCs w:val="22"/>
          <w:lang w:val="en-GB"/>
        </w:rPr>
        <w:t xml:space="preserve"> of Gülhane in 1839 marked a new attempt by the Porte to centralise Ottoman control over its subjects and curtail future assertions of regional autonomy through multifarious processes of centre-periphery integration.</w:t>
      </w:r>
      <w:r w:rsidRPr="00440B9F">
        <w:rPr>
          <w:rStyle w:val="FootnoteReference"/>
          <w:rFonts w:ascii="Palatino Linotype" w:hAnsi="Palatino Linotype"/>
          <w:sz w:val="22"/>
          <w:szCs w:val="22"/>
          <w:lang w:val="en-GB"/>
        </w:rPr>
        <w:footnoteReference w:id="38"/>
      </w:r>
      <w:r w:rsidRPr="00440B9F">
        <w:rPr>
          <w:rFonts w:ascii="Palatino Linotype" w:hAnsi="Palatino Linotype"/>
          <w:sz w:val="22"/>
          <w:szCs w:val="22"/>
          <w:lang w:val="en-GB"/>
        </w:rPr>
        <w:t xml:space="preserve"> The recovery of the Syria was an early manifestation of these </w:t>
      </w:r>
      <w:r w:rsidRPr="00440B9F">
        <w:rPr>
          <w:rFonts w:ascii="Palatino Linotype" w:hAnsi="Palatino Linotype"/>
          <w:i/>
          <w:sz w:val="22"/>
          <w:szCs w:val="22"/>
          <w:lang w:val="en-GB"/>
        </w:rPr>
        <w:t>Tanzimat</w:t>
      </w:r>
      <w:r w:rsidRPr="00440B9F">
        <w:rPr>
          <w:rFonts w:ascii="Palatino Linotype" w:hAnsi="Palatino Linotype"/>
          <w:sz w:val="22"/>
          <w:szCs w:val="22"/>
          <w:lang w:val="en-GB"/>
        </w:rPr>
        <w:t xml:space="preserve"> goals, which encompassed four strategies: (1) ‘dispatching fact finding and inspection missions to the troubled provinces’; (2) ‘encouraging local petitions and delegations to Istanbul’; (3) ‘setting up local councils to channel the centre-periphery relations into </w:t>
      </w:r>
      <w:r w:rsidRPr="00440B9F">
        <w:rPr>
          <w:rFonts w:ascii="Palatino Linotype" w:hAnsi="Palatino Linotype"/>
          <w:i/>
          <w:sz w:val="22"/>
          <w:szCs w:val="22"/>
          <w:lang w:val="en-GB"/>
        </w:rPr>
        <w:t>in situ</w:t>
      </w:r>
      <w:r w:rsidRPr="00440B9F">
        <w:rPr>
          <w:rFonts w:ascii="Palatino Linotype" w:hAnsi="Palatino Linotype"/>
          <w:sz w:val="22"/>
          <w:szCs w:val="22"/>
          <w:lang w:val="en-GB"/>
        </w:rPr>
        <w:t xml:space="preserve"> institutions’; and (4) ‘setting up model provinces which were then applied as blueprints to other provinces’.</w:t>
      </w:r>
      <w:r w:rsidRPr="00440B9F">
        <w:rPr>
          <w:rStyle w:val="FootnoteReference"/>
          <w:rFonts w:ascii="Palatino Linotype" w:hAnsi="Palatino Linotype"/>
          <w:sz w:val="22"/>
          <w:szCs w:val="22"/>
          <w:lang w:val="en-GB"/>
        </w:rPr>
        <w:footnoteReference w:id="39"/>
      </w:r>
      <w:r w:rsidRPr="00440B9F">
        <w:rPr>
          <w:rFonts w:ascii="Palatino Linotype" w:hAnsi="Palatino Linotype"/>
          <w:sz w:val="22"/>
          <w:szCs w:val="22"/>
          <w:lang w:val="en-GB"/>
        </w:rPr>
        <w:t xml:space="preserve"> Subsequent events reveal that through carrying out these strategies, the Ottoman government reasserted its presence in the region, but in a manner that further eroded the structures of the </w:t>
      </w:r>
      <w:r w:rsidRPr="00440B9F">
        <w:rPr>
          <w:rFonts w:ascii="Palatino Linotype" w:hAnsi="Palatino Linotype"/>
          <w:i/>
          <w:sz w:val="22"/>
          <w:szCs w:val="22"/>
          <w:lang w:val="en-GB"/>
        </w:rPr>
        <w:t>iqtā‘</w:t>
      </w:r>
      <w:r w:rsidRPr="00440B9F">
        <w:rPr>
          <w:rFonts w:ascii="Palatino Linotype" w:hAnsi="Palatino Linotype"/>
          <w:sz w:val="22"/>
          <w:szCs w:val="22"/>
          <w:lang w:val="en-GB"/>
        </w:rPr>
        <w:t>.</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In 1842, Selim Bey was sent by the Porte to ‘talk to the inhabitants [of Mount Lebanon], record peculiarities...investigate the administration of taxes, the operation of the local councils and their relationship with the governors’, draw maps and inspect the land for future public works.</w:t>
      </w:r>
      <w:r w:rsidRPr="00440B9F">
        <w:rPr>
          <w:rStyle w:val="FootnoteReference"/>
          <w:rFonts w:ascii="Palatino Linotype" w:hAnsi="Palatino Linotype"/>
          <w:sz w:val="22"/>
          <w:szCs w:val="22"/>
          <w:lang w:val="en-GB"/>
        </w:rPr>
        <w:footnoteReference w:id="40"/>
      </w:r>
      <w:r w:rsidRPr="00440B9F">
        <w:rPr>
          <w:rFonts w:ascii="Palatino Linotype" w:hAnsi="Palatino Linotype"/>
          <w:sz w:val="22"/>
          <w:szCs w:val="22"/>
          <w:lang w:val="en-GB"/>
        </w:rPr>
        <w:t xml:space="preserve"> Based upon Selim Bey’s findings, the Porte proposed a restructuring of the Syrian province, which abolished the emirate on Mount Lebanon, placed the </w:t>
      </w:r>
      <w:r w:rsidRPr="00440B9F">
        <w:rPr>
          <w:rFonts w:ascii="Palatino Linotype" w:hAnsi="Palatino Linotype"/>
          <w:i/>
          <w:sz w:val="22"/>
          <w:szCs w:val="22"/>
          <w:lang w:val="en-GB"/>
        </w:rPr>
        <w:t>wālī</w:t>
      </w:r>
      <w:r w:rsidRPr="00440B9F">
        <w:rPr>
          <w:rFonts w:ascii="Palatino Linotype" w:hAnsi="Palatino Linotype"/>
          <w:sz w:val="22"/>
          <w:szCs w:val="22"/>
          <w:lang w:val="en-GB"/>
        </w:rPr>
        <w:t xml:space="preserve"> of Tripoli under the jurisdiction of Damascus and relocated the capital of the Sidon province from Acre to Beirut.</w:t>
      </w:r>
      <w:r w:rsidRPr="00440B9F">
        <w:rPr>
          <w:rStyle w:val="FootnoteReference"/>
          <w:rFonts w:ascii="Palatino Linotype" w:hAnsi="Palatino Linotype"/>
          <w:sz w:val="22"/>
          <w:szCs w:val="22"/>
          <w:lang w:val="en-GB"/>
        </w:rPr>
        <w:footnoteReference w:id="41"/>
      </w:r>
      <w:r w:rsidRPr="00440B9F">
        <w:rPr>
          <w:rFonts w:ascii="Palatino Linotype" w:hAnsi="Palatino Linotype"/>
          <w:sz w:val="22"/>
          <w:szCs w:val="22"/>
          <w:lang w:val="en-GB"/>
        </w:rPr>
        <w:t xml:space="preserve"> Although this was an attempt to place the region under the Porte’s direct control, the immediate result was a power vacuum that was manifested in a series of violent disputes.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Subsequent changes were made by the Ottoman government to mollify this new violence. The result was the double </w:t>
      </w:r>
      <w:r w:rsidRPr="00440B9F">
        <w:rPr>
          <w:rFonts w:ascii="Palatino Linotype" w:hAnsi="Palatino Linotype"/>
          <w:i/>
          <w:sz w:val="22"/>
          <w:szCs w:val="22"/>
          <w:lang w:val="en-GB"/>
        </w:rPr>
        <w:t>Qa‛im maqāmat</w:t>
      </w:r>
      <w:r w:rsidRPr="00440B9F">
        <w:rPr>
          <w:rFonts w:ascii="Palatino Linotype" w:hAnsi="Palatino Linotype"/>
          <w:sz w:val="22"/>
          <w:szCs w:val="22"/>
          <w:lang w:val="en-GB"/>
        </w:rPr>
        <w:t xml:space="preserve">, which divided the administration of Mountain Lebanon between a Christian </w:t>
      </w:r>
      <w:r w:rsidRPr="00440B9F">
        <w:rPr>
          <w:rFonts w:ascii="Palatino Linotype" w:hAnsi="Palatino Linotype"/>
          <w:i/>
          <w:sz w:val="22"/>
          <w:szCs w:val="22"/>
          <w:lang w:val="en-GB"/>
        </w:rPr>
        <w:t xml:space="preserve">Qa‛im maqāmat </w:t>
      </w:r>
      <w:r w:rsidRPr="00440B9F">
        <w:rPr>
          <w:rFonts w:ascii="Palatino Linotype" w:hAnsi="Palatino Linotype"/>
          <w:sz w:val="22"/>
          <w:szCs w:val="22"/>
          <w:lang w:val="en-GB"/>
        </w:rPr>
        <w:t xml:space="preserve">in the north and a Druze </w:t>
      </w:r>
      <w:r w:rsidRPr="00440B9F">
        <w:rPr>
          <w:rFonts w:ascii="Palatino Linotype" w:hAnsi="Palatino Linotype"/>
          <w:i/>
          <w:sz w:val="22"/>
          <w:szCs w:val="22"/>
          <w:lang w:val="en-GB"/>
        </w:rPr>
        <w:t xml:space="preserve">Qa‛im maqāmat </w:t>
      </w:r>
      <w:r w:rsidRPr="00440B9F">
        <w:rPr>
          <w:rFonts w:ascii="Palatino Linotype" w:hAnsi="Palatino Linotype"/>
          <w:sz w:val="22"/>
          <w:szCs w:val="22"/>
          <w:lang w:val="en-GB"/>
        </w:rPr>
        <w:t>in the south, with Beirut and Deir al-Qamar being separately governed. Both</w:t>
      </w:r>
      <w:r w:rsidRPr="00440B9F">
        <w:rPr>
          <w:rFonts w:ascii="Palatino Linotype" w:hAnsi="Palatino Linotype"/>
          <w:i/>
          <w:sz w:val="22"/>
          <w:szCs w:val="22"/>
          <w:lang w:val="en-GB"/>
        </w:rPr>
        <w:t xml:space="preserve"> Qa‛im maqāmat</w:t>
      </w:r>
      <w:r w:rsidRPr="00440B9F">
        <w:rPr>
          <w:rFonts w:ascii="Palatino Linotype" w:hAnsi="Palatino Linotype"/>
          <w:sz w:val="22"/>
          <w:szCs w:val="22"/>
          <w:lang w:val="en-GB"/>
        </w:rPr>
        <w:t>s</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 xml:space="preserve">were subordinate to the </w:t>
      </w:r>
      <w:r w:rsidRPr="00440B9F">
        <w:rPr>
          <w:rFonts w:ascii="Palatino Linotype" w:hAnsi="Palatino Linotype"/>
          <w:i/>
          <w:sz w:val="22"/>
          <w:szCs w:val="22"/>
          <w:lang w:val="en-GB"/>
        </w:rPr>
        <w:t>wālī</w:t>
      </w:r>
      <w:r w:rsidRPr="00440B9F">
        <w:rPr>
          <w:rFonts w:ascii="Palatino Linotype" w:hAnsi="Palatino Linotype"/>
          <w:sz w:val="22"/>
          <w:szCs w:val="22"/>
          <w:lang w:val="en-GB"/>
        </w:rPr>
        <w:t xml:space="preserve"> of Sidon who resided in Beirut. Although each </w:t>
      </w:r>
      <w:r w:rsidRPr="00440B9F">
        <w:rPr>
          <w:rFonts w:ascii="Palatino Linotype" w:hAnsi="Palatino Linotype"/>
          <w:i/>
          <w:sz w:val="22"/>
          <w:szCs w:val="22"/>
          <w:lang w:val="en-GB"/>
        </w:rPr>
        <w:t>Qa‛im maqām</w:t>
      </w:r>
      <w:r w:rsidRPr="00440B9F">
        <w:rPr>
          <w:rFonts w:ascii="Palatino Linotype" w:hAnsi="Palatino Linotype"/>
          <w:sz w:val="22"/>
          <w:szCs w:val="22"/>
          <w:lang w:val="en-GB"/>
        </w:rPr>
        <w:t xml:space="preserve"> was selected from </w:t>
      </w:r>
      <w:r w:rsidRPr="00440B9F">
        <w:rPr>
          <w:rFonts w:ascii="Palatino Linotype" w:hAnsi="Palatino Linotype"/>
          <w:i/>
          <w:sz w:val="22"/>
          <w:szCs w:val="22"/>
          <w:lang w:val="en-GB"/>
        </w:rPr>
        <w:t xml:space="preserve">muqata‛ jī </w:t>
      </w:r>
      <w:r w:rsidRPr="00440B9F">
        <w:rPr>
          <w:rFonts w:ascii="Palatino Linotype" w:hAnsi="Palatino Linotype"/>
          <w:sz w:val="22"/>
          <w:szCs w:val="22"/>
          <w:lang w:val="en-GB"/>
        </w:rPr>
        <w:t>families,</w:t>
      </w:r>
      <w:r w:rsidRPr="00440B9F">
        <w:rPr>
          <w:rFonts w:ascii="Palatino Linotype" w:hAnsi="Palatino Linotype"/>
          <w:sz w:val="22"/>
          <w:szCs w:val="22"/>
          <w:vertAlign w:val="superscript"/>
          <w:lang w:val="en-GB"/>
        </w:rPr>
        <w:footnoteReference w:id="42"/>
      </w:r>
      <w:r w:rsidRPr="00440B9F">
        <w:rPr>
          <w:rFonts w:ascii="Palatino Linotype" w:hAnsi="Palatino Linotype"/>
          <w:sz w:val="22"/>
          <w:szCs w:val="22"/>
          <w:lang w:val="en-GB"/>
        </w:rPr>
        <w:t xml:space="preserve"> the previous alliances amongst the </w:t>
      </w:r>
      <w:r w:rsidRPr="00440B9F">
        <w:rPr>
          <w:rFonts w:ascii="Palatino Linotype" w:hAnsi="Palatino Linotype"/>
          <w:i/>
          <w:sz w:val="22"/>
          <w:szCs w:val="22"/>
          <w:lang w:val="en-GB"/>
        </w:rPr>
        <w:t>muqata‛jīyyah</w:t>
      </w:r>
      <w:r w:rsidRPr="00440B9F">
        <w:rPr>
          <w:rFonts w:ascii="Palatino Linotype" w:hAnsi="Palatino Linotype"/>
          <w:sz w:val="22"/>
          <w:szCs w:val="22"/>
          <w:lang w:val="en-GB"/>
        </w:rPr>
        <w:t xml:space="preserve">, religious leaders, peasants and the new middle class were disrupted. As a result, the authority of the </w:t>
      </w:r>
      <w:r w:rsidRPr="00440B9F">
        <w:rPr>
          <w:rFonts w:ascii="Palatino Linotype" w:hAnsi="Palatino Linotype"/>
          <w:i/>
          <w:sz w:val="22"/>
          <w:szCs w:val="22"/>
          <w:lang w:val="en-GB"/>
        </w:rPr>
        <w:t>Qa‛im maqām</w:t>
      </w:r>
      <w:r w:rsidRPr="00440B9F">
        <w:rPr>
          <w:rFonts w:ascii="Palatino Linotype" w:hAnsi="Palatino Linotype"/>
          <w:sz w:val="22"/>
          <w:szCs w:val="22"/>
          <w:lang w:val="en-GB"/>
        </w:rPr>
        <w:t>s</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proved to be unstable while their legitimacy was challenged by different groups who vied for political power. Nevertheless, this ‘temporary’ system lasted for nearly two decades and must be regarded as an attempt by the Ottoman government to reconfigure the political structures of Syria in order to integrate the region under their direct control.</w:t>
      </w:r>
      <w:r w:rsidRPr="00440B9F">
        <w:rPr>
          <w:rStyle w:val="FootnoteReference"/>
          <w:rFonts w:ascii="Palatino Linotype" w:hAnsi="Palatino Linotype"/>
          <w:sz w:val="22"/>
          <w:szCs w:val="22"/>
          <w:lang w:val="en-GB"/>
        </w:rPr>
        <w:footnoteReference w:id="43"/>
      </w:r>
      <w:r w:rsidRPr="00440B9F">
        <w:rPr>
          <w:rFonts w:ascii="Palatino Linotype" w:hAnsi="Palatino Linotype"/>
          <w:sz w:val="22"/>
          <w:szCs w:val="22"/>
          <w:lang w:val="en-GB"/>
        </w:rPr>
        <w:t xml:space="preserve"> </w:t>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r>
      <w:r w:rsidRPr="00440B9F">
        <w:rPr>
          <w:rFonts w:ascii="Palatino Linotype" w:hAnsi="Palatino Linotype"/>
          <w:sz w:val="22"/>
          <w:szCs w:val="22"/>
          <w:lang w:val="en-GB"/>
        </w:rPr>
        <w:t xml:space="preserve"> Warfare</w:t>
      </w:r>
      <w:r w:rsidRPr="00440B9F">
        <w:rPr>
          <w:rFonts w:ascii="Palatino Linotype" w:hAnsi="Palatino Linotype"/>
          <w:color w:val="000000"/>
          <w:sz w:val="22"/>
          <w:szCs w:val="22"/>
          <w:lang w:val="en-GB"/>
        </w:rPr>
        <w:t xml:space="preserve"> continued to plague Mount Lebanon throughout the 1840s and 1850s, however. In the southern </w:t>
      </w:r>
      <w:r w:rsidRPr="00440B9F">
        <w:rPr>
          <w:rFonts w:ascii="Palatino Linotype" w:hAnsi="Palatino Linotype"/>
          <w:i/>
          <w:color w:val="000000"/>
          <w:sz w:val="22"/>
          <w:szCs w:val="22"/>
          <w:lang w:val="en-GB"/>
        </w:rPr>
        <w:t>Qa‛im maqāmat</w:t>
      </w:r>
      <w:r w:rsidRPr="00440B9F">
        <w:rPr>
          <w:rFonts w:ascii="Palatino Linotype" w:hAnsi="Palatino Linotype"/>
          <w:color w:val="000000"/>
          <w:sz w:val="22"/>
          <w:szCs w:val="22"/>
          <w:lang w:val="en-GB"/>
        </w:rPr>
        <w:t xml:space="preserve">, which was more religiously heterogeneous than the north, Druze and Christian </w:t>
      </w:r>
      <w:r w:rsidRPr="00440B9F">
        <w:rPr>
          <w:rFonts w:ascii="Palatino Linotype" w:hAnsi="Palatino Linotype"/>
          <w:i/>
          <w:color w:val="000000"/>
          <w:sz w:val="22"/>
          <w:szCs w:val="22"/>
          <w:lang w:val="en-GB"/>
        </w:rPr>
        <w:t>wakīl</w:t>
      </w:r>
      <w:r w:rsidRPr="00440B9F">
        <w:rPr>
          <w:rFonts w:ascii="Palatino Linotype" w:hAnsi="Palatino Linotype"/>
          <w:color w:val="000000"/>
          <w:sz w:val="22"/>
          <w:szCs w:val="22"/>
          <w:lang w:val="en-GB"/>
        </w:rPr>
        <w:t>s were established to collect taxes and provide judicial rulings.</w:t>
      </w:r>
      <w:r w:rsidRPr="00440B9F">
        <w:rPr>
          <w:rStyle w:val="FootnoteReference"/>
          <w:rFonts w:ascii="Palatino Linotype" w:hAnsi="Palatino Linotype"/>
          <w:color w:val="000000"/>
          <w:sz w:val="22"/>
          <w:szCs w:val="22"/>
          <w:lang w:val="en-GB"/>
        </w:rPr>
        <w:footnoteReference w:id="44"/>
      </w:r>
      <w:r w:rsidRPr="00440B9F">
        <w:rPr>
          <w:rFonts w:ascii="Palatino Linotype" w:hAnsi="Palatino Linotype"/>
          <w:color w:val="000000"/>
          <w:sz w:val="22"/>
          <w:szCs w:val="22"/>
          <w:lang w:val="en-GB"/>
        </w:rPr>
        <w:t xml:space="preserve"> These assemblies</w:t>
      </w:r>
      <w:r w:rsidRPr="00440B9F">
        <w:rPr>
          <w:rFonts w:ascii="Palatino Linotype" w:hAnsi="Palatino Linotype"/>
          <w:i/>
          <w:color w:val="000000"/>
          <w:sz w:val="22"/>
          <w:szCs w:val="22"/>
          <w:lang w:val="en-GB"/>
        </w:rPr>
        <w:t xml:space="preserve"> </w:t>
      </w:r>
      <w:r w:rsidRPr="00440B9F">
        <w:rPr>
          <w:rFonts w:ascii="Palatino Linotype" w:hAnsi="Palatino Linotype"/>
          <w:color w:val="000000"/>
          <w:sz w:val="22"/>
          <w:szCs w:val="22"/>
          <w:lang w:val="en-GB"/>
        </w:rPr>
        <w:t xml:space="preserve">were composed of representatives from each community, but remained under the authority of the southern </w:t>
      </w:r>
      <w:r w:rsidRPr="00440B9F">
        <w:rPr>
          <w:rFonts w:ascii="Palatino Linotype" w:hAnsi="Palatino Linotype"/>
          <w:i/>
          <w:color w:val="000000"/>
          <w:sz w:val="22"/>
          <w:szCs w:val="22"/>
          <w:lang w:val="en-GB"/>
        </w:rPr>
        <w:t>Qa‛im maqām</w:t>
      </w:r>
      <w:r w:rsidRPr="00440B9F">
        <w:rPr>
          <w:rFonts w:ascii="Palatino Linotype" w:hAnsi="Palatino Linotype"/>
          <w:color w:val="000000"/>
          <w:sz w:val="22"/>
          <w:szCs w:val="22"/>
          <w:lang w:val="en-GB"/>
        </w:rPr>
        <w:t>.</w:t>
      </w:r>
      <w:r w:rsidRPr="00440B9F">
        <w:rPr>
          <w:rStyle w:val="FootnoteReference"/>
          <w:rFonts w:ascii="Palatino Linotype" w:hAnsi="Palatino Linotype"/>
          <w:color w:val="000000"/>
          <w:sz w:val="22"/>
          <w:szCs w:val="22"/>
          <w:lang w:val="en-GB"/>
        </w:rPr>
        <w:footnoteReference w:id="45"/>
      </w:r>
      <w:r w:rsidRPr="00440B9F">
        <w:rPr>
          <w:rFonts w:ascii="Palatino Linotype" w:hAnsi="Palatino Linotype"/>
          <w:color w:val="000000"/>
          <w:sz w:val="22"/>
          <w:szCs w:val="22"/>
          <w:lang w:val="en-GB"/>
        </w:rPr>
        <w:t xml:space="preserve"> Despite this increased representation, violence continued to plague the areas, so that in 1845, the Porte sent Shakib Effendi to investigate and resolve the causes of the lingering civil strife. Reflecting the four strategies of the </w:t>
      </w:r>
      <w:r w:rsidRPr="00440B9F">
        <w:rPr>
          <w:rFonts w:ascii="Palatino Linotype" w:hAnsi="Palatino Linotype"/>
          <w:i/>
          <w:color w:val="000000"/>
          <w:sz w:val="22"/>
          <w:szCs w:val="22"/>
          <w:lang w:val="en-GB"/>
        </w:rPr>
        <w:t>Tanzimat</w:t>
      </w:r>
      <w:r w:rsidRPr="00440B9F">
        <w:rPr>
          <w:rFonts w:ascii="Palatino Linotype" w:hAnsi="Palatino Linotype"/>
          <w:color w:val="000000"/>
          <w:sz w:val="22"/>
          <w:szCs w:val="22"/>
          <w:lang w:val="en-GB"/>
        </w:rPr>
        <w:t xml:space="preserve"> discussed above, Shakib Effendi’s solution was to reform the power of the </w:t>
      </w:r>
      <w:r w:rsidRPr="00440B9F">
        <w:rPr>
          <w:rFonts w:ascii="Palatino Linotype" w:hAnsi="Palatino Linotype"/>
          <w:i/>
          <w:color w:val="000000"/>
          <w:sz w:val="22"/>
          <w:szCs w:val="22"/>
          <w:lang w:val="en-GB"/>
        </w:rPr>
        <w:t>Qa‛im maqām</w:t>
      </w:r>
      <w:r w:rsidRPr="00440B9F">
        <w:rPr>
          <w:rFonts w:ascii="Palatino Linotype" w:hAnsi="Palatino Linotype"/>
          <w:color w:val="000000"/>
          <w:sz w:val="22"/>
          <w:szCs w:val="22"/>
          <w:lang w:val="en-GB"/>
        </w:rPr>
        <w:t xml:space="preserve">s through expanding the use of </w:t>
      </w:r>
      <w:r w:rsidRPr="00440B9F">
        <w:rPr>
          <w:rFonts w:ascii="Palatino Linotype" w:hAnsi="Palatino Linotype"/>
          <w:i/>
          <w:color w:val="000000"/>
          <w:sz w:val="22"/>
          <w:szCs w:val="22"/>
          <w:lang w:val="en-GB"/>
        </w:rPr>
        <w:t>mecil</w:t>
      </w:r>
      <w:r w:rsidRPr="00440B9F">
        <w:rPr>
          <w:rFonts w:ascii="Palatino Linotype" w:hAnsi="Palatino Linotype"/>
          <w:color w:val="000000"/>
          <w:sz w:val="22"/>
          <w:szCs w:val="22"/>
          <w:lang w:val="en-GB"/>
        </w:rPr>
        <w:t>s (administrative councils). These councils brought together the</w:t>
      </w:r>
      <w:r w:rsidRPr="00440B9F">
        <w:rPr>
          <w:rFonts w:ascii="Palatino Linotype" w:hAnsi="Palatino Linotype"/>
          <w:i/>
          <w:color w:val="000000"/>
          <w:sz w:val="22"/>
          <w:szCs w:val="22"/>
          <w:lang w:val="en-GB"/>
        </w:rPr>
        <w:t xml:space="preserve"> </w:t>
      </w:r>
      <w:r w:rsidRPr="00440B9F">
        <w:rPr>
          <w:rFonts w:ascii="Palatino Linotype" w:hAnsi="Palatino Linotype"/>
          <w:color w:val="000000"/>
          <w:sz w:val="22"/>
          <w:szCs w:val="22"/>
          <w:lang w:val="en-GB"/>
        </w:rPr>
        <w:t>leaders of six different religious communities in order to allocate taxes and hear judicial cases.</w:t>
      </w:r>
      <w:r w:rsidRPr="00440B9F">
        <w:rPr>
          <w:rStyle w:val="FootnoteReference"/>
          <w:rFonts w:ascii="Palatino Linotype" w:hAnsi="Palatino Linotype"/>
          <w:color w:val="000000"/>
          <w:sz w:val="22"/>
          <w:szCs w:val="22"/>
          <w:lang w:val="en-GB"/>
        </w:rPr>
        <w:footnoteReference w:id="46"/>
      </w:r>
      <w:r w:rsidRPr="00440B9F">
        <w:rPr>
          <w:rFonts w:ascii="Palatino Linotype" w:hAnsi="Palatino Linotype"/>
          <w:color w:val="000000"/>
          <w:sz w:val="22"/>
          <w:szCs w:val="22"/>
          <w:lang w:val="en-GB"/>
        </w:rPr>
        <w:t xml:space="preserve"> This was done to address the mounting tensions within religiously ‘mixed’ cities, where residents distrusted their </w:t>
      </w:r>
      <w:r w:rsidRPr="00440B9F">
        <w:rPr>
          <w:rFonts w:ascii="Palatino Linotype" w:hAnsi="Palatino Linotype"/>
          <w:i/>
          <w:color w:val="000000"/>
          <w:sz w:val="22"/>
          <w:szCs w:val="22"/>
          <w:lang w:val="en-GB"/>
        </w:rPr>
        <w:t>Qa‛im maqām</w:t>
      </w:r>
      <w:r w:rsidRPr="00440B9F">
        <w:rPr>
          <w:rFonts w:ascii="Palatino Linotype" w:hAnsi="Palatino Linotype"/>
          <w:color w:val="000000"/>
          <w:sz w:val="22"/>
          <w:szCs w:val="22"/>
          <w:lang w:val="en-GB"/>
        </w:rPr>
        <w:t xml:space="preserve"> because of differences in religious affiliation.</w:t>
      </w:r>
      <w:r w:rsidRPr="00440B9F">
        <w:rPr>
          <w:rFonts w:ascii="Palatino Linotype" w:hAnsi="Palatino Linotype"/>
          <w:color w:val="000000"/>
          <w:sz w:val="22"/>
          <w:szCs w:val="22"/>
          <w:vertAlign w:val="superscript"/>
          <w:lang w:val="en-GB"/>
        </w:rPr>
        <w:footnoteReference w:id="47"/>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 xml:space="preserve">Although the </w:t>
      </w:r>
      <w:r w:rsidRPr="00440B9F">
        <w:rPr>
          <w:rFonts w:ascii="Palatino Linotype" w:hAnsi="Palatino Linotype"/>
          <w:i/>
          <w:color w:val="000000"/>
          <w:sz w:val="22"/>
          <w:szCs w:val="22"/>
          <w:lang w:val="en-GB"/>
        </w:rPr>
        <w:t>Qa‛im maqām</w:t>
      </w:r>
      <w:r w:rsidRPr="00440B9F">
        <w:rPr>
          <w:rFonts w:ascii="Palatino Linotype" w:hAnsi="Palatino Linotype"/>
          <w:color w:val="000000"/>
          <w:sz w:val="22"/>
          <w:szCs w:val="22"/>
          <w:lang w:val="en-GB"/>
        </w:rPr>
        <w:t xml:space="preserve">s, </w:t>
      </w:r>
      <w:r w:rsidRPr="00440B9F">
        <w:rPr>
          <w:rFonts w:ascii="Palatino Linotype" w:hAnsi="Palatino Linotype"/>
          <w:i/>
          <w:color w:val="000000"/>
          <w:sz w:val="22"/>
          <w:szCs w:val="22"/>
          <w:lang w:val="en-GB"/>
        </w:rPr>
        <w:t>wakīl</w:t>
      </w:r>
      <w:r w:rsidRPr="00440B9F">
        <w:rPr>
          <w:rFonts w:ascii="Palatino Linotype" w:hAnsi="Palatino Linotype"/>
          <w:color w:val="000000"/>
          <w:sz w:val="22"/>
          <w:szCs w:val="22"/>
          <w:lang w:val="en-GB"/>
        </w:rPr>
        <w:t xml:space="preserve">s and members of the </w:t>
      </w:r>
      <w:r w:rsidRPr="00440B9F">
        <w:rPr>
          <w:rFonts w:ascii="Palatino Linotype" w:hAnsi="Palatino Linotype"/>
          <w:i/>
          <w:color w:val="000000"/>
          <w:sz w:val="22"/>
          <w:szCs w:val="22"/>
          <w:lang w:val="en-GB"/>
        </w:rPr>
        <w:t>mecil</w:t>
      </w:r>
      <w:r w:rsidRPr="00440B9F">
        <w:rPr>
          <w:rFonts w:ascii="Palatino Linotype" w:hAnsi="Palatino Linotype"/>
          <w:color w:val="000000"/>
          <w:sz w:val="22"/>
          <w:szCs w:val="22"/>
          <w:lang w:val="en-GB"/>
        </w:rPr>
        <w:t xml:space="preserve">s were often selected from amongst the </w:t>
      </w:r>
      <w:r w:rsidRPr="00440B9F">
        <w:rPr>
          <w:rFonts w:ascii="Palatino Linotype" w:hAnsi="Palatino Linotype"/>
          <w:i/>
          <w:color w:val="000000"/>
          <w:sz w:val="22"/>
          <w:szCs w:val="22"/>
          <w:lang w:val="en-GB"/>
        </w:rPr>
        <w:t>muqata‛jī</w:t>
      </w:r>
      <w:r w:rsidRPr="00440B9F">
        <w:rPr>
          <w:rFonts w:ascii="Palatino Linotype" w:hAnsi="Palatino Linotype"/>
          <w:color w:val="000000"/>
          <w:sz w:val="22"/>
          <w:szCs w:val="22"/>
          <w:lang w:val="en-GB"/>
        </w:rPr>
        <w:t xml:space="preserve"> families, the peasants and other non-notables</w:t>
      </w:r>
      <w:r w:rsidRPr="00440B9F">
        <w:rPr>
          <w:rFonts w:ascii="Palatino Linotype" w:hAnsi="Palatino Linotype"/>
          <w:i/>
          <w:color w:val="000000"/>
          <w:sz w:val="22"/>
          <w:szCs w:val="22"/>
          <w:lang w:val="en-GB"/>
        </w:rPr>
        <w:t xml:space="preserve"> </w:t>
      </w:r>
      <w:r w:rsidRPr="00440B9F">
        <w:rPr>
          <w:rFonts w:ascii="Palatino Linotype" w:hAnsi="Palatino Linotype"/>
          <w:color w:val="000000"/>
          <w:sz w:val="22"/>
          <w:szCs w:val="22"/>
          <w:lang w:val="en-GB"/>
        </w:rPr>
        <w:t xml:space="preserve">were not silenced in these reforms, for they harnessed other aspects of the </w:t>
      </w:r>
      <w:r w:rsidRPr="00440B9F">
        <w:rPr>
          <w:rFonts w:ascii="Palatino Linotype" w:hAnsi="Palatino Linotype"/>
          <w:i/>
          <w:color w:val="000000"/>
          <w:sz w:val="22"/>
          <w:szCs w:val="22"/>
          <w:lang w:val="en-GB"/>
        </w:rPr>
        <w:t>Tanzimat</w:t>
      </w:r>
      <w:r w:rsidRPr="00440B9F">
        <w:rPr>
          <w:rFonts w:ascii="Palatino Linotype" w:hAnsi="Palatino Linotype"/>
          <w:color w:val="000000"/>
          <w:sz w:val="22"/>
          <w:szCs w:val="22"/>
          <w:lang w:val="en-GB"/>
        </w:rPr>
        <w:t xml:space="preserve"> in order to improve their position within regional power structures. Throughout the 1850s, residents of the Keserwan, in the northern </w:t>
      </w:r>
      <w:r w:rsidRPr="00440B9F">
        <w:rPr>
          <w:rFonts w:ascii="Palatino Linotype" w:hAnsi="Palatino Linotype"/>
          <w:i/>
          <w:color w:val="000000"/>
          <w:sz w:val="22"/>
          <w:szCs w:val="22"/>
          <w:lang w:val="en-GB"/>
        </w:rPr>
        <w:t>Qa‛im maqāmat</w:t>
      </w:r>
      <w:r w:rsidRPr="00440B9F">
        <w:rPr>
          <w:rFonts w:ascii="Palatino Linotype" w:hAnsi="Palatino Linotype"/>
          <w:color w:val="000000"/>
          <w:sz w:val="22"/>
          <w:szCs w:val="22"/>
          <w:lang w:val="en-GB"/>
        </w:rPr>
        <w:t xml:space="preserve">, asserted their right to select a functionary for tax collections and a representative to sit on the local </w:t>
      </w:r>
      <w:r w:rsidRPr="00440B9F">
        <w:rPr>
          <w:rFonts w:ascii="Palatino Linotype" w:hAnsi="Palatino Linotype"/>
          <w:i/>
          <w:color w:val="000000"/>
          <w:sz w:val="22"/>
          <w:szCs w:val="22"/>
          <w:lang w:val="en-GB"/>
        </w:rPr>
        <w:t>mecil.</w:t>
      </w:r>
      <w:r w:rsidRPr="00440B9F">
        <w:rPr>
          <w:rFonts w:ascii="Palatino Linotype" w:hAnsi="Palatino Linotype"/>
          <w:color w:val="000000"/>
          <w:sz w:val="22"/>
          <w:szCs w:val="22"/>
          <w:lang w:val="en-GB"/>
        </w:rPr>
        <w:t xml:space="preserve"> In 1858, Tannous Shahin, a former blacksmith, filled this position and became a recognised fixture with regional politics.</w:t>
      </w:r>
      <w:r w:rsidRPr="00440B9F">
        <w:rPr>
          <w:rFonts w:ascii="Palatino Linotype" w:hAnsi="Palatino Linotype"/>
          <w:color w:val="000000"/>
          <w:sz w:val="22"/>
          <w:szCs w:val="22"/>
          <w:vertAlign w:val="superscript"/>
          <w:lang w:val="en-GB"/>
        </w:rPr>
        <w:footnoteReference w:id="48"/>
      </w:r>
      <w:r w:rsidRPr="00440B9F">
        <w:rPr>
          <w:rFonts w:ascii="Palatino Linotype" w:hAnsi="Palatino Linotype"/>
          <w:color w:val="000000"/>
          <w:sz w:val="22"/>
          <w:szCs w:val="22"/>
          <w:lang w:val="en-GB"/>
        </w:rPr>
        <w:t xml:space="preserve"> Another reform of the </w:t>
      </w:r>
      <w:r w:rsidRPr="00440B9F">
        <w:rPr>
          <w:rFonts w:ascii="Palatino Linotype" w:hAnsi="Palatino Linotype"/>
          <w:i/>
          <w:color w:val="000000"/>
          <w:sz w:val="22"/>
          <w:szCs w:val="22"/>
          <w:lang w:val="en-GB"/>
        </w:rPr>
        <w:t>Tanzimat</w:t>
      </w:r>
      <w:r w:rsidRPr="00440B9F">
        <w:rPr>
          <w:rFonts w:ascii="Palatino Linotype" w:hAnsi="Palatino Linotype"/>
          <w:color w:val="000000"/>
          <w:sz w:val="22"/>
          <w:szCs w:val="22"/>
          <w:lang w:val="en-GB"/>
        </w:rPr>
        <w:t xml:space="preserve"> was to encourage the use of petitions. Although this was created as a way for the Porte to gain information on the social conditions throughout the Empire, numerous residents of Syria sent petitions to the Porte, particularly in demand that their newly defined rights be protected.</w:t>
      </w:r>
      <w:r w:rsidRPr="00440B9F">
        <w:rPr>
          <w:rStyle w:val="FootnoteReference"/>
          <w:rFonts w:ascii="Palatino Linotype" w:hAnsi="Palatino Linotype"/>
          <w:color w:val="000000"/>
          <w:sz w:val="22"/>
          <w:szCs w:val="22"/>
          <w:lang w:val="en-GB"/>
        </w:rPr>
        <w:footnoteReference w:id="49"/>
      </w:r>
      <w:r w:rsidRPr="00440B9F">
        <w:rPr>
          <w:rFonts w:ascii="Palatino Linotype" w:hAnsi="Palatino Linotype"/>
          <w:color w:val="000000"/>
          <w:sz w:val="22"/>
          <w:szCs w:val="22"/>
          <w:lang w:val="en-GB"/>
        </w:rPr>
        <w:t xml:space="preserve"> </w:t>
      </w:r>
    </w:p>
    <w:p w:rsidR="00333418" w:rsidRDefault="00333418" w:rsidP="001761FF">
      <w:pPr>
        <w:pStyle w:val="BodyText"/>
        <w:spacing w:line="360" w:lineRule="auto"/>
        <w:jc w:val="both"/>
        <w:rPr>
          <w:rFonts w:ascii="Palatino Linotype" w:hAnsi="Palatino Linotype"/>
          <w:color w:val="000000"/>
          <w:lang w:val="en-GB"/>
        </w:rPr>
      </w:pPr>
      <w:r w:rsidRPr="00440B9F">
        <w:rPr>
          <w:rFonts w:ascii="Palatino Linotype" w:hAnsi="Palatino Linotype"/>
          <w:color w:val="000000"/>
          <w:sz w:val="22"/>
          <w:szCs w:val="22"/>
          <w:lang w:val="en-GB"/>
        </w:rPr>
        <w:tab/>
        <w:t xml:space="preserve">Thus, the </w:t>
      </w:r>
      <w:r w:rsidRPr="00440B9F">
        <w:rPr>
          <w:rFonts w:ascii="Palatino Linotype" w:hAnsi="Palatino Linotype"/>
          <w:i/>
          <w:color w:val="000000"/>
          <w:sz w:val="22"/>
          <w:szCs w:val="22"/>
          <w:lang w:val="en-GB"/>
        </w:rPr>
        <w:t>Tanzimat</w:t>
      </w:r>
      <w:r w:rsidRPr="00440B9F">
        <w:rPr>
          <w:rFonts w:ascii="Palatino Linotype" w:hAnsi="Palatino Linotype"/>
          <w:color w:val="000000"/>
          <w:sz w:val="22"/>
          <w:szCs w:val="22"/>
          <w:lang w:val="en-GB"/>
        </w:rPr>
        <w:t xml:space="preserve"> era was a period of negotiation between the Ottoman Porte and his subjects (and amongst the subjects) to navigate and delineate the ever-shifting distributions of political power.</w:t>
      </w:r>
      <w:r w:rsidRPr="00440B9F">
        <w:rPr>
          <w:rStyle w:val="FootnoteReference"/>
          <w:rFonts w:ascii="Palatino Linotype" w:hAnsi="Palatino Linotype"/>
          <w:color w:val="000000"/>
          <w:sz w:val="22"/>
          <w:szCs w:val="22"/>
          <w:lang w:val="en-GB"/>
        </w:rPr>
        <w:footnoteReference w:id="50"/>
      </w:r>
      <w:r w:rsidRPr="00440B9F">
        <w:rPr>
          <w:rFonts w:ascii="Palatino Linotype" w:hAnsi="Palatino Linotype"/>
          <w:color w:val="000000"/>
          <w:sz w:val="22"/>
          <w:szCs w:val="22"/>
          <w:lang w:val="en-GB"/>
        </w:rPr>
        <w:t xml:space="preserve"> The new policies that emerged neither accommodated the different groups who vied for power, nor the new social and political identities that emerged. As a result, war plagued Ottoman Syria throughout this period, which climaxed during the summer of 1860, and marked the end of both the </w:t>
      </w:r>
      <w:r w:rsidRPr="00440B9F">
        <w:rPr>
          <w:rFonts w:ascii="Palatino Linotype" w:hAnsi="Palatino Linotype"/>
          <w:i/>
          <w:color w:val="000000"/>
          <w:sz w:val="22"/>
          <w:szCs w:val="22"/>
          <w:lang w:val="en-GB"/>
        </w:rPr>
        <w:t xml:space="preserve">iqtā‘ </w:t>
      </w:r>
      <w:r w:rsidRPr="00440B9F">
        <w:rPr>
          <w:rFonts w:ascii="Palatino Linotype" w:hAnsi="Palatino Linotype"/>
          <w:color w:val="000000"/>
          <w:sz w:val="22"/>
          <w:szCs w:val="22"/>
          <w:lang w:val="en-GB"/>
        </w:rPr>
        <w:t xml:space="preserve">and the </w:t>
      </w:r>
      <w:r w:rsidRPr="00440B9F">
        <w:rPr>
          <w:rFonts w:ascii="Palatino Linotype" w:hAnsi="Palatino Linotype"/>
          <w:i/>
          <w:color w:val="000000"/>
          <w:sz w:val="22"/>
          <w:szCs w:val="22"/>
          <w:lang w:val="en-GB"/>
        </w:rPr>
        <w:t xml:space="preserve">Qa‛im maqāmat </w:t>
      </w:r>
      <w:r w:rsidRPr="00440B9F">
        <w:rPr>
          <w:rFonts w:ascii="Palatino Linotype" w:hAnsi="Palatino Linotype"/>
          <w:color w:val="000000"/>
          <w:sz w:val="22"/>
          <w:szCs w:val="22"/>
          <w:lang w:val="en-GB"/>
        </w:rPr>
        <w:t>political systems.</w:t>
      </w:r>
      <w:r w:rsidRPr="00440B9F">
        <w:rPr>
          <w:rStyle w:val="FootnoteReference"/>
          <w:rFonts w:ascii="Palatino Linotype" w:hAnsi="Palatino Linotype"/>
          <w:color w:val="000000"/>
          <w:sz w:val="22"/>
          <w:szCs w:val="22"/>
          <w:lang w:val="en-GB"/>
        </w:rPr>
        <w:footnoteReference w:id="51"/>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p>
    <w:p w:rsidR="00333418" w:rsidRDefault="00333418" w:rsidP="001761FF">
      <w:pPr>
        <w:pStyle w:val="BodyText"/>
        <w:spacing w:line="360" w:lineRule="auto"/>
        <w:jc w:val="center"/>
        <w:outlineLvl w:val="0"/>
        <w:rPr>
          <w:rFonts w:ascii="Arial" w:hAnsi="Arial" w:cs="Arial"/>
          <w:smallCaps/>
          <w:lang w:val="en-GB"/>
        </w:rPr>
      </w:pPr>
    </w:p>
    <w:p w:rsidR="00333418" w:rsidRPr="00440B9F" w:rsidRDefault="00333418" w:rsidP="001761FF">
      <w:pPr>
        <w:pStyle w:val="BodyText"/>
        <w:spacing w:line="360" w:lineRule="auto"/>
        <w:jc w:val="center"/>
        <w:outlineLvl w:val="0"/>
        <w:rPr>
          <w:rFonts w:ascii="Arial" w:hAnsi="Arial" w:cs="Arial"/>
          <w:smallCaps/>
          <w:sz w:val="22"/>
          <w:szCs w:val="22"/>
          <w:lang w:val="en-GB"/>
        </w:rPr>
      </w:pPr>
      <w:r w:rsidRPr="00440B9F">
        <w:rPr>
          <w:rFonts w:ascii="Arial" w:hAnsi="Arial" w:cs="Arial"/>
          <w:smallCaps/>
          <w:sz w:val="22"/>
          <w:szCs w:val="22"/>
          <w:lang w:val="en-GB"/>
        </w:rPr>
        <w:t>The Transformations of Christian Communities</w:t>
      </w:r>
    </w:p>
    <w:p w:rsidR="00333418" w:rsidRPr="00440B9F" w:rsidRDefault="00333418" w:rsidP="001761FF">
      <w:pPr>
        <w:pStyle w:val="BodyText"/>
        <w:spacing w:line="360" w:lineRule="auto"/>
        <w:jc w:val="both"/>
        <w:rPr>
          <w:rFonts w:ascii="Arial" w:hAnsi="Arial" w:cs="Arial"/>
          <w:i/>
          <w:smallCaps/>
          <w:sz w:val="22"/>
          <w:szCs w:val="22"/>
          <w:lang w:val="en-GB"/>
        </w:rPr>
      </w:pP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The </w:t>
      </w:r>
      <w:r w:rsidRPr="00440B9F">
        <w:rPr>
          <w:rFonts w:ascii="Palatino Linotype" w:hAnsi="Palatino Linotype" w:cs="Arial"/>
          <w:i/>
          <w:sz w:val="22"/>
          <w:szCs w:val="22"/>
          <w:lang w:val="en-GB"/>
        </w:rPr>
        <w:t>madh</w:t>
      </w:r>
      <w:r w:rsidRPr="00440B9F">
        <w:rPr>
          <w:rFonts w:ascii="KoufrUni" w:hAnsi="KoufrUni" w:cs="Arial"/>
          <w:i/>
          <w:sz w:val="22"/>
          <w:szCs w:val="22"/>
          <w:lang w:val="en-GB"/>
        </w:rPr>
        <w:t>ā</w:t>
      </w:r>
      <w:r w:rsidRPr="00440B9F">
        <w:rPr>
          <w:rFonts w:ascii="Palatino Linotype" w:hAnsi="Palatino Linotype" w:cs="Arial"/>
          <w:i/>
          <w:sz w:val="22"/>
          <w:szCs w:val="22"/>
          <w:lang w:val="en-GB"/>
        </w:rPr>
        <w:t>bi</w:t>
      </w:r>
      <w:r w:rsidRPr="00440B9F">
        <w:rPr>
          <w:rFonts w:ascii="JaghbUni" w:hAnsi="JaghbUni" w:cs="Arial"/>
          <w:i/>
          <w:sz w:val="22"/>
          <w:szCs w:val="22"/>
          <w:lang w:val="en-GB"/>
        </w:rPr>
        <w:t>ḥ</w:t>
      </w:r>
      <w:r w:rsidRPr="00440B9F">
        <w:rPr>
          <w:rFonts w:ascii="Palatino Linotype" w:hAnsi="Palatino Linotype" w:cs="Arial"/>
          <w:i/>
          <w:sz w:val="22"/>
          <w:szCs w:val="22"/>
          <w:lang w:val="en-GB"/>
        </w:rPr>
        <w:t xml:space="preserve"> al-sittīn</w:t>
      </w:r>
      <w:r w:rsidRPr="00440B9F">
        <w:rPr>
          <w:rFonts w:ascii="Palatino Linotype" w:hAnsi="Palatino Linotype"/>
          <w:sz w:val="22"/>
          <w:szCs w:val="22"/>
          <w:lang w:val="en-GB"/>
        </w:rPr>
        <w:t xml:space="preserve"> (Massacres of the 1860s) are often remembered as a conflict between religious groups: the Druze against the Christians.</w:t>
      </w:r>
      <w:r w:rsidRPr="00440B9F">
        <w:rPr>
          <w:rStyle w:val="FootnoteReference"/>
          <w:rFonts w:ascii="Palatino Linotype" w:hAnsi="Palatino Linotype"/>
          <w:sz w:val="22"/>
          <w:szCs w:val="22"/>
          <w:lang w:val="en-GB"/>
        </w:rPr>
        <w:footnoteReference w:id="52"/>
      </w:r>
      <w:r w:rsidRPr="00440B9F">
        <w:rPr>
          <w:rFonts w:ascii="Palatino Linotype" w:hAnsi="Palatino Linotype"/>
          <w:sz w:val="22"/>
          <w:szCs w:val="22"/>
          <w:lang w:val="en-GB"/>
        </w:rPr>
        <w:t xml:space="preserve"> Revisionist historians have demonstrated that the use of religious identity, as the primary marker of social difference, was a gradual development that intertwined with the political transformations discussed above.</w:t>
      </w:r>
      <w:r w:rsidRPr="00440B9F">
        <w:rPr>
          <w:rStyle w:val="FootnoteReference"/>
          <w:rFonts w:ascii="Palatino Linotype" w:hAnsi="Palatino Linotype"/>
          <w:sz w:val="22"/>
          <w:szCs w:val="22"/>
          <w:lang w:val="en-GB"/>
        </w:rPr>
        <w:footnoteReference w:id="53"/>
      </w:r>
      <w:r w:rsidRPr="00440B9F">
        <w:rPr>
          <w:rFonts w:ascii="Palatino Linotype" w:hAnsi="Palatino Linotype"/>
          <w:sz w:val="22"/>
          <w:szCs w:val="22"/>
          <w:lang w:val="en-GB"/>
        </w:rPr>
        <w:t xml:space="preserve"> These changes not only reflected the reconfiguration of political and economic systems, but also, the transformations developing within religious communities. This section examines two aspects of these changes and how they affected Christians in Syria: the fragmentation of the </w:t>
      </w:r>
      <w:r w:rsidRPr="00440B9F">
        <w:rPr>
          <w:rFonts w:ascii="Palatino Linotype" w:hAnsi="Palatino Linotype"/>
          <w:i/>
          <w:sz w:val="22"/>
          <w:szCs w:val="22"/>
          <w:lang w:val="en-GB"/>
        </w:rPr>
        <w:t xml:space="preserve">Rum, </w:t>
      </w:r>
      <w:r w:rsidRPr="00440B9F">
        <w:rPr>
          <w:rFonts w:ascii="Palatino Linotype" w:hAnsi="Palatino Linotype"/>
          <w:sz w:val="22"/>
          <w:szCs w:val="22"/>
          <w:lang w:val="en-GB"/>
        </w:rPr>
        <w:t>as the primary political-ecclesiastical unit for Ottoman Christians under the authority of the Greek Orthodox Patriarch, and the changes in the spaces for ‘religious’ women within specific Churches. This chapter maintains that, similar to and intertwined with the political transformations discussed above, the religious environment of Ottoman Syria underwent modification during the eighteenth and nineteenth centuries, which allowed for new religious groups to emerge, new forms of piety to be practiced and new identities to be articulated.</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While the details of the millet structure before the eighteenth century are debated by historians, the political representatives of the different Christian communities in the Ottoman Empire during the eighteenth and early nineteenth centuries were the Greek Orthodox Ecumenical Patriarch and Armenian Patriarch.</w:t>
      </w:r>
      <w:r w:rsidRPr="00440B9F">
        <w:rPr>
          <w:rStyle w:val="FootnoteReference"/>
          <w:rFonts w:ascii="Palatino Linotype" w:hAnsi="Palatino Linotype"/>
          <w:sz w:val="22"/>
          <w:szCs w:val="22"/>
          <w:lang w:val="en-GB"/>
        </w:rPr>
        <w:footnoteReference w:id="54"/>
      </w:r>
      <w:r w:rsidRPr="00440B9F">
        <w:rPr>
          <w:rFonts w:ascii="Palatino Linotype" w:hAnsi="Palatino Linotype"/>
          <w:sz w:val="22"/>
          <w:szCs w:val="22"/>
          <w:lang w:val="en-GB"/>
        </w:rPr>
        <w:t xml:space="preserve"> Although a number of Armenians became Protestants throughout the Ottoman Empire, this section focus upon the communities who composed the </w:t>
      </w:r>
      <w:r w:rsidRPr="00440B9F">
        <w:rPr>
          <w:rFonts w:ascii="Palatino Linotype" w:hAnsi="Palatino Linotype"/>
          <w:i/>
          <w:sz w:val="22"/>
          <w:szCs w:val="22"/>
          <w:lang w:val="en-GB"/>
        </w:rPr>
        <w:t>Rum</w:t>
      </w:r>
      <w:r w:rsidRPr="00440B9F">
        <w:rPr>
          <w:rFonts w:ascii="Palatino Linotype" w:hAnsi="Palatino Linotype"/>
          <w:sz w:val="22"/>
          <w:szCs w:val="22"/>
          <w:lang w:val="en-GB"/>
        </w:rPr>
        <w:t xml:space="preserve"> and fell under the jurisdiction of the Greek Orthodox Ecumenical Patriarch, for the changes within the Greek Orthodox, Maronite and Greek Catholic churches of Syria had a more significant impact on the development of the Protestant Circle, than those affecting the Armenian community.</w:t>
      </w:r>
      <w:r w:rsidRPr="00440B9F">
        <w:rPr>
          <w:rStyle w:val="FootnoteReference"/>
          <w:rFonts w:ascii="Palatino Linotype" w:hAnsi="Palatino Linotype"/>
          <w:sz w:val="22"/>
          <w:szCs w:val="22"/>
          <w:lang w:val="en-GB"/>
        </w:rPr>
        <w:footnoteReference w:id="55"/>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sz w:val="22"/>
          <w:szCs w:val="22"/>
          <w:lang w:val="en-GB"/>
        </w:rPr>
        <w:tab/>
        <w:t xml:space="preserve">Although the Greek Orthodox Ecumenical Patriarch was the official representative of the </w:t>
      </w:r>
      <w:r w:rsidRPr="00440B9F">
        <w:rPr>
          <w:rFonts w:ascii="Palatino Linotype" w:hAnsi="Palatino Linotype"/>
          <w:i/>
          <w:sz w:val="22"/>
          <w:szCs w:val="22"/>
          <w:lang w:val="en-GB"/>
        </w:rPr>
        <w:t>Rum</w:t>
      </w:r>
      <w:r w:rsidRPr="00440B9F">
        <w:rPr>
          <w:rFonts w:ascii="Palatino Linotype" w:hAnsi="Palatino Linotype"/>
          <w:sz w:val="22"/>
          <w:szCs w:val="22"/>
          <w:lang w:val="en-GB"/>
        </w:rPr>
        <w:t xml:space="preserve">, his jurisdiction was curtailed by the authority wielded by regional patriarchs, bishops and priests over local communities. These </w:t>
      </w:r>
      <w:r w:rsidRPr="00440B9F">
        <w:rPr>
          <w:rFonts w:ascii="Palatino Linotype" w:hAnsi="Palatino Linotype"/>
          <w:color w:val="000000"/>
          <w:sz w:val="22"/>
          <w:szCs w:val="22"/>
          <w:lang w:val="en-GB"/>
        </w:rPr>
        <w:t>ecclesiastical leaders influenced their congregants’ daily lives through conducting and sanctifying activities that are presently considered aspects of ‘personal status’, such as marriages, baptisms and burials.</w:t>
      </w:r>
      <w:r w:rsidRPr="00440B9F">
        <w:rPr>
          <w:rFonts w:ascii="Palatino Linotype" w:hAnsi="Palatino Linotype"/>
          <w:color w:val="000000"/>
          <w:sz w:val="22"/>
          <w:szCs w:val="22"/>
          <w:vertAlign w:val="superscript"/>
          <w:lang w:val="en-GB"/>
        </w:rPr>
        <w:footnoteReference w:id="56"/>
      </w:r>
      <w:r w:rsidRPr="00440B9F">
        <w:rPr>
          <w:rFonts w:ascii="Palatino Linotype" w:hAnsi="Palatino Linotype"/>
          <w:color w:val="000000"/>
          <w:sz w:val="22"/>
          <w:szCs w:val="22"/>
          <w:lang w:val="en-GB"/>
        </w:rPr>
        <w:t xml:space="preserve"> Moreover, while the criterion for excommunication, or dismissal from a church, was determined by official cannon, the effect of being excommunicated (or even the threat of excommunication) by a local church leader, resulted in the person being socially and economically ostracised from his/her neighbours.</w:t>
      </w:r>
      <w:r w:rsidRPr="00440B9F">
        <w:rPr>
          <w:rFonts w:ascii="Palatino Linotype" w:hAnsi="Palatino Linotype"/>
          <w:color w:val="000000"/>
          <w:sz w:val="22"/>
          <w:szCs w:val="22"/>
          <w:vertAlign w:val="superscript"/>
          <w:lang w:val="en-GB"/>
        </w:rPr>
        <w:footnoteReference w:id="57"/>
      </w:r>
      <w:r w:rsidRPr="00440B9F">
        <w:rPr>
          <w:rFonts w:ascii="Palatino Linotype" w:hAnsi="Palatino Linotype"/>
          <w:color w:val="000000"/>
          <w:sz w:val="22"/>
          <w:szCs w:val="22"/>
          <w:lang w:val="en-GB"/>
        </w:rPr>
        <w:t xml:space="preserve"> In effect, local priests, bishops and patriarchs controlled who was included or excluded from their communities, despite the identification of all non-Armenian Christians by the Ottoman authorities as members of the larger </w:t>
      </w:r>
      <w:r w:rsidRPr="00440B9F">
        <w:rPr>
          <w:rFonts w:ascii="Palatino Linotype" w:hAnsi="Palatino Linotype"/>
          <w:i/>
          <w:color w:val="000000"/>
          <w:sz w:val="22"/>
          <w:szCs w:val="22"/>
          <w:lang w:val="en-GB"/>
        </w:rPr>
        <w:t>Rum</w:t>
      </w:r>
      <w:r w:rsidRPr="00440B9F">
        <w:rPr>
          <w:rFonts w:ascii="Palatino Linotype" w:hAnsi="Palatino Linotype"/>
          <w:color w:val="000000"/>
          <w:sz w:val="22"/>
          <w:szCs w:val="22"/>
          <w:lang w:val="en-GB"/>
        </w:rPr>
        <w:t>.</w:t>
      </w:r>
      <w:r w:rsidRPr="00440B9F">
        <w:rPr>
          <w:rFonts w:ascii="Palatino Linotype" w:hAnsi="Palatino Linotype"/>
          <w:color w:val="000000"/>
          <w:sz w:val="22"/>
          <w:szCs w:val="22"/>
          <w:vertAlign w:val="superscript"/>
          <w:lang w:val="en-GB"/>
        </w:rPr>
        <w:footnoteReference w:id="58"/>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ab/>
        <w:t>The denominational divisions amongst Christians also challenged the consolidated authority of the Ecumenical Patriarch.</w:t>
      </w:r>
      <w:r w:rsidRPr="00440B9F">
        <w:rPr>
          <w:rFonts w:ascii="Palatino Linotype" w:hAnsi="Palatino Linotype"/>
          <w:color w:val="000000"/>
          <w:sz w:val="22"/>
          <w:szCs w:val="22"/>
          <w:vertAlign w:val="superscript"/>
          <w:lang w:val="en-GB"/>
        </w:rPr>
        <w:footnoteReference w:id="59"/>
      </w:r>
      <w:r w:rsidRPr="00440B9F">
        <w:rPr>
          <w:rFonts w:ascii="Palatino Linotype" w:hAnsi="Palatino Linotype"/>
          <w:color w:val="000000"/>
          <w:sz w:val="22"/>
          <w:szCs w:val="22"/>
          <w:lang w:val="en-GB"/>
        </w:rPr>
        <w:t xml:space="preserve"> While the Armenians were recognised by the Porte as a separate community, other denominations had to apply for</w:t>
      </w:r>
      <w:r w:rsidRPr="00440B9F">
        <w:rPr>
          <w:rFonts w:ascii="Palatino Linotype" w:hAnsi="Palatino Linotype"/>
          <w:sz w:val="22"/>
          <w:szCs w:val="22"/>
          <w:lang w:val="en-GB"/>
        </w:rPr>
        <w:t xml:space="preserve"> </w:t>
      </w:r>
      <w:r w:rsidRPr="00440B9F">
        <w:rPr>
          <w:rFonts w:ascii="KoufrUni" w:hAnsi="KoufrUni" w:cs="Arial"/>
          <w:i/>
          <w:sz w:val="22"/>
          <w:szCs w:val="22"/>
          <w:lang w:val="en-GB"/>
        </w:rPr>
        <w:t>ṭ</w:t>
      </w:r>
      <w:r w:rsidRPr="00440B9F">
        <w:rPr>
          <w:rFonts w:ascii="Palatino Linotype" w:hAnsi="Palatino Linotype" w:cs="Arial"/>
          <w:i/>
          <w:sz w:val="22"/>
          <w:szCs w:val="22"/>
          <w:lang w:val="en-GB"/>
        </w:rPr>
        <w:t>ā’ifah</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 xml:space="preserve">status within the </w:t>
      </w:r>
      <w:r w:rsidRPr="00440B9F">
        <w:rPr>
          <w:rFonts w:ascii="Palatino Linotype" w:hAnsi="Palatino Linotype"/>
          <w:i/>
          <w:sz w:val="22"/>
          <w:szCs w:val="22"/>
          <w:lang w:val="en-GB"/>
        </w:rPr>
        <w:t>Rum</w:t>
      </w:r>
      <w:r w:rsidRPr="00440B9F">
        <w:rPr>
          <w:rFonts w:ascii="Palatino Linotype" w:hAnsi="Palatino Linotype"/>
          <w:sz w:val="22"/>
          <w:szCs w:val="22"/>
          <w:lang w:val="en-GB"/>
        </w:rPr>
        <w:t xml:space="preserve">. A </w:t>
      </w:r>
      <w:r w:rsidRPr="00440B9F">
        <w:rPr>
          <w:rFonts w:ascii="KoufrUni" w:hAnsi="KoufrUni" w:cs="Arial"/>
          <w:i/>
          <w:sz w:val="22"/>
          <w:szCs w:val="22"/>
          <w:lang w:val="en-GB"/>
        </w:rPr>
        <w:t>ṭ</w:t>
      </w:r>
      <w:r w:rsidRPr="00440B9F">
        <w:rPr>
          <w:rFonts w:ascii="Palatino Linotype" w:hAnsi="Palatino Linotype" w:cs="Arial"/>
          <w:i/>
          <w:sz w:val="22"/>
          <w:szCs w:val="22"/>
          <w:lang w:val="en-GB"/>
        </w:rPr>
        <w:t>ā’ifah</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(pl.</w:t>
      </w:r>
      <w:r w:rsidRPr="00440B9F">
        <w:rPr>
          <w:rFonts w:ascii="Garamond" w:hAnsi="Garamond"/>
          <w:i/>
          <w:sz w:val="22"/>
          <w:szCs w:val="22"/>
          <w:lang w:val="en-GB"/>
        </w:rPr>
        <w:t xml:space="preserve"> </w:t>
      </w:r>
      <w:r w:rsidRPr="00440B9F">
        <w:rPr>
          <w:rFonts w:ascii="KoufrUni" w:hAnsi="KoufrUni" w:cs="Arial"/>
          <w:i/>
          <w:lang w:val="en-GB"/>
        </w:rPr>
        <w:t>ṭ</w:t>
      </w:r>
      <w:r w:rsidRPr="00440B9F">
        <w:rPr>
          <w:rFonts w:ascii="Palatino Linotype" w:hAnsi="Palatino Linotype" w:cs="Arial"/>
          <w:i/>
          <w:lang w:val="en-GB"/>
        </w:rPr>
        <w:t>āwā’if</w:t>
      </w:r>
      <w:r w:rsidRPr="00440B9F">
        <w:rPr>
          <w:rFonts w:ascii="Palatino Linotype" w:hAnsi="Palatino Linotype"/>
          <w:sz w:val="22"/>
          <w:szCs w:val="22"/>
          <w:lang w:val="en-GB"/>
        </w:rPr>
        <w:t>) was a communal association organised around a designated religious and/or secular identity, which was noted in court records and used to allocate taxes.</w:t>
      </w:r>
      <w:r w:rsidRPr="00440B9F">
        <w:rPr>
          <w:rStyle w:val="FootnoteReference"/>
          <w:rFonts w:ascii="Palatino Linotype" w:hAnsi="Palatino Linotype"/>
          <w:sz w:val="22"/>
          <w:szCs w:val="22"/>
          <w:lang w:val="en-GB"/>
        </w:rPr>
        <w:footnoteReference w:id="60"/>
      </w:r>
      <w:r w:rsidRPr="00440B9F">
        <w:rPr>
          <w:rFonts w:ascii="Palatino Linotype" w:hAnsi="Palatino Linotype"/>
          <w:sz w:val="22"/>
          <w:szCs w:val="22"/>
          <w:lang w:val="en-GB"/>
        </w:rPr>
        <w:t xml:space="preserve"> For example, in eighteenth century Hama, European merchants were identified as members of the ‘</w:t>
      </w:r>
      <w:r w:rsidRPr="00440B9F">
        <w:rPr>
          <w:rFonts w:ascii="Palatino Linotype" w:hAnsi="Palatino Linotype"/>
          <w:i/>
          <w:sz w:val="22"/>
          <w:szCs w:val="22"/>
          <w:lang w:val="en-GB"/>
        </w:rPr>
        <w:t>ta’ifat</w:t>
      </w:r>
      <w:r w:rsidRPr="00440B9F">
        <w:rPr>
          <w:rFonts w:ascii="Palatino Linotype" w:hAnsi="Palatino Linotype"/>
          <w:sz w:val="22"/>
          <w:szCs w:val="22"/>
          <w:lang w:val="en-GB"/>
        </w:rPr>
        <w:t xml:space="preserve"> al-Afranj [</w:t>
      </w:r>
      <w:r w:rsidRPr="00440B9F">
        <w:rPr>
          <w:rFonts w:ascii="Palatino Linotype" w:hAnsi="Palatino Linotype"/>
          <w:i/>
          <w:sz w:val="22"/>
          <w:szCs w:val="22"/>
          <w:lang w:val="en-GB"/>
        </w:rPr>
        <w:t>sic</w:t>
      </w:r>
      <w:r w:rsidRPr="00440B9F">
        <w:rPr>
          <w:rFonts w:ascii="Palatino Linotype" w:hAnsi="Palatino Linotype"/>
          <w:sz w:val="22"/>
          <w:szCs w:val="22"/>
          <w:lang w:val="en-GB"/>
        </w:rPr>
        <w:t>], “the corporation of Franks”’.</w:t>
      </w:r>
      <w:r w:rsidRPr="00440B9F">
        <w:rPr>
          <w:rStyle w:val="FootnoteReference"/>
          <w:rFonts w:ascii="Palatino Linotype" w:hAnsi="Palatino Linotype"/>
          <w:sz w:val="22"/>
          <w:szCs w:val="22"/>
          <w:lang w:val="en-GB"/>
        </w:rPr>
        <w:footnoteReference w:id="61"/>
      </w:r>
      <w:r w:rsidRPr="00440B9F">
        <w:rPr>
          <w:rFonts w:ascii="Palatino Linotype" w:hAnsi="Palatino Linotype"/>
          <w:sz w:val="22"/>
          <w:szCs w:val="22"/>
          <w:lang w:val="en-GB"/>
        </w:rPr>
        <w:t xml:space="preserve"> Applications to establish a </w:t>
      </w:r>
      <w:r w:rsidRPr="00440B9F">
        <w:rPr>
          <w:rFonts w:ascii="KoufrUni" w:hAnsi="KoufrUni" w:cs="Arial"/>
          <w:i/>
          <w:sz w:val="22"/>
          <w:szCs w:val="22"/>
          <w:lang w:val="en-GB"/>
        </w:rPr>
        <w:t>ṭ</w:t>
      </w:r>
      <w:r w:rsidRPr="00440B9F">
        <w:rPr>
          <w:rFonts w:ascii="Palatino Linotype" w:hAnsi="Palatino Linotype" w:cs="Arial"/>
          <w:i/>
          <w:sz w:val="22"/>
          <w:szCs w:val="22"/>
          <w:lang w:val="en-GB"/>
        </w:rPr>
        <w:t>ā’ifah</w:t>
      </w:r>
      <w:r w:rsidRPr="00440B9F">
        <w:rPr>
          <w:rFonts w:ascii="Palatino Linotype" w:hAnsi="Palatino Linotype"/>
          <w:sz w:val="22"/>
          <w:szCs w:val="22"/>
          <w:lang w:val="en-GB"/>
        </w:rPr>
        <w:t xml:space="preserve"> were registered with the local </w:t>
      </w:r>
      <w:r w:rsidRPr="00440B9F">
        <w:rPr>
          <w:rFonts w:ascii="Palatino Linotype" w:hAnsi="Palatino Linotype"/>
          <w:i/>
          <w:sz w:val="22"/>
          <w:szCs w:val="22"/>
          <w:lang w:val="en-GB"/>
        </w:rPr>
        <w:t xml:space="preserve">qadi </w:t>
      </w:r>
      <w:r w:rsidRPr="00440B9F">
        <w:rPr>
          <w:rFonts w:ascii="Palatino Linotype" w:hAnsi="Palatino Linotype"/>
          <w:sz w:val="22"/>
          <w:szCs w:val="22"/>
          <w:lang w:val="en-GB"/>
        </w:rPr>
        <w:t xml:space="preserve">and were geographically specific. As a result, although churches were unified by shared religious practices, their official positions within the Ottoman system were as separate </w:t>
      </w:r>
      <w:r w:rsidRPr="00440B9F">
        <w:rPr>
          <w:rFonts w:ascii="KoufrUni" w:hAnsi="KoufrUni" w:cs="Arial"/>
          <w:i/>
          <w:sz w:val="22"/>
          <w:szCs w:val="22"/>
          <w:lang w:val="en-GB"/>
        </w:rPr>
        <w:t>ṭ</w:t>
      </w:r>
      <w:r w:rsidRPr="00440B9F">
        <w:rPr>
          <w:rFonts w:ascii="Palatino Linotype" w:hAnsi="Palatino Linotype" w:cs="Arial"/>
          <w:i/>
          <w:sz w:val="22"/>
          <w:szCs w:val="22"/>
          <w:lang w:val="en-GB"/>
        </w:rPr>
        <w:t>ā’ifah</w:t>
      </w:r>
      <w:r w:rsidRPr="00440B9F">
        <w:rPr>
          <w:rFonts w:ascii="Palatino Linotype" w:hAnsi="Palatino Linotype"/>
          <w:sz w:val="22"/>
          <w:szCs w:val="22"/>
          <w:lang w:val="en-GB"/>
        </w:rPr>
        <w:t xml:space="preserve"> within the </w:t>
      </w:r>
      <w:r w:rsidRPr="00440B9F">
        <w:rPr>
          <w:rFonts w:ascii="Palatino Linotype" w:hAnsi="Palatino Linotype"/>
          <w:i/>
          <w:sz w:val="22"/>
          <w:szCs w:val="22"/>
          <w:lang w:val="en-GB"/>
        </w:rPr>
        <w:t>Rum</w:t>
      </w:r>
      <w:r w:rsidRPr="00440B9F">
        <w:rPr>
          <w:rFonts w:ascii="Palatino Linotype" w:hAnsi="Palatino Linotype"/>
          <w:sz w:val="22"/>
          <w:szCs w:val="22"/>
          <w:lang w:val="en-GB"/>
        </w:rPr>
        <w:t>, at least before the nineteenth century.</w:t>
      </w:r>
      <w:r w:rsidRPr="00440B9F">
        <w:rPr>
          <w:rStyle w:val="FootnoteReference"/>
          <w:rFonts w:ascii="Palatino Linotype" w:hAnsi="Palatino Linotype"/>
          <w:sz w:val="22"/>
          <w:szCs w:val="22"/>
          <w:lang w:val="en-GB"/>
        </w:rPr>
        <w:footnoteReference w:id="62"/>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sz w:val="22"/>
          <w:szCs w:val="22"/>
          <w:lang w:val="en-GB"/>
        </w:rPr>
        <w:tab/>
        <w:t>A number of communities sought distinction from this collective categorisation.</w:t>
      </w:r>
      <w:r w:rsidRPr="00440B9F">
        <w:rPr>
          <w:rStyle w:val="FootnoteReference"/>
          <w:rFonts w:ascii="Palatino Linotype" w:hAnsi="Palatino Linotype"/>
          <w:sz w:val="22"/>
          <w:szCs w:val="22"/>
          <w:lang w:val="en-GB"/>
        </w:rPr>
        <w:footnoteReference w:id="63"/>
      </w:r>
      <w:r w:rsidRPr="00440B9F">
        <w:rPr>
          <w:rFonts w:ascii="Palatino Linotype" w:hAnsi="Palatino Linotype"/>
          <w:i/>
          <w:sz w:val="22"/>
          <w:szCs w:val="22"/>
          <w:lang w:val="en-GB"/>
        </w:rPr>
        <w:t xml:space="preserve"> </w:t>
      </w:r>
      <w:r w:rsidRPr="00440B9F">
        <w:rPr>
          <w:rFonts w:ascii="Palatino Linotype" w:hAnsi="Palatino Linotype"/>
          <w:color w:val="000000"/>
          <w:sz w:val="22"/>
          <w:szCs w:val="22"/>
          <w:lang w:val="en-GB"/>
        </w:rPr>
        <w:t>One form of distinction occurred through the ‘latinization’ of some religious practices and theology. From the seventeenth century onwards, French-supported Roman Catholic missionaries of the Franciscans, Capuchins, Lazarites, Carmelites and Jesuits Orders expanded their work in the Ottoman Empire, which appears to have been initially condoned by Ottoman officials.</w:t>
      </w:r>
      <w:r w:rsidRPr="00440B9F">
        <w:rPr>
          <w:rStyle w:val="FootnoteReference"/>
          <w:rFonts w:ascii="Palatino Linotype" w:hAnsi="Palatino Linotype"/>
          <w:color w:val="000000"/>
          <w:sz w:val="22"/>
          <w:szCs w:val="22"/>
          <w:lang w:val="en-GB"/>
        </w:rPr>
        <w:footnoteReference w:id="64"/>
      </w:r>
      <w:r w:rsidRPr="00440B9F">
        <w:rPr>
          <w:rFonts w:ascii="Palatino Linotype" w:hAnsi="Palatino Linotype"/>
          <w:color w:val="000000"/>
          <w:sz w:val="22"/>
          <w:szCs w:val="22"/>
          <w:lang w:val="en-GB"/>
        </w:rPr>
        <w:t xml:space="preserve"> The Roman Catholic Church pursued the conversion of Eastern-rite Christians to offset the losses of European Christians by the Protestant Reformation, while the </w:t>
      </w:r>
      <w:r w:rsidRPr="00440B9F">
        <w:rPr>
          <w:rFonts w:ascii="Palatino Linotype" w:hAnsi="Palatino Linotype"/>
          <w:i/>
          <w:color w:val="000000"/>
          <w:sz w:val="22"/>
          <w:szCs w:val="22"/>
          <w:lang w:val="en-GB"/>
        </w:rPr>
        <w:t>Terre Sainte</w:t>
      </w:r>
      <w:r w:rsidRPr="00440B9F">
        <w:rPr>
          <w:rFonts w:ascii="Palatino Linotype" w:hAnsi="Palatino Linotype"/>
          <w:color w:val="000000"/>
          <w:sz w:val="22"/>
          <w:szCs w:val="22"/>
          <w:lang w:val="en-GB"/>
        </w:rPr>
        <w:t xml:space="preserve"> of Syria was of particular spiritual interest to many Latin missionaries.</w:t>
      </w:r>
      <w:r w:rsidRPr="00440B9F">
        <w:rPr>
          <w:rFonts w:ascii="Palatino Linotype" w:hAnsi="Palatino Linotype"/>
          <w:color w:val="000000"/>
          <w:sz w:val="22"/>
          <w:szCs w:val="22"/>
          <w:vertAlign w:val="superscript"/>
          <w:lang w:val="en-GB"/>
        </w:rPr>
        <w:footnoteReference w:id="65"/>
      </w:r>
      <w:r w:rsidRPr="00440B9F">
        <w:rPr>
          <w:rFonts w:ascii="Palatino Linotype" w:hAnsi="Palatino Linotype"/>
          <w:color w:val="000000"/>
          <w:sz w:val="22"/>
          <w:szCs w:val="22"/>
          <w:lang w:val="en-GB"/>
        </w:rPr>
        <w:t xml:space="preserve"> This connection was reinforced through the travel of Maronite and other ‘Rome-linked’</w:t>
      </w:r>
      <w:r w:rsidRPr="00440B9F">
        <w:rPr>
          <w:rStyle w:val="FootnoteReference"/>
          <w:rFonts w:ascii="Palatino Linotype" w:hAnsi="Palatino Linotype"/>
          <w:color w:val="000000"/>
          <w:sz w:val="22"/>
          <w:szCs w:val="22"/>
          <w:lang w:val="en-GB"/>
        </w:rPr>
        <w:footnoteReference w:id="66"/>
      </w:r>
      <w:r w:rsidRPr="00440B9F">
        <w:rPr>
          <w:rFonts w:ascii="Palatino Linotype" w:hAnsi="Palatino Linotype"/>
          <w:color w:val="000000"/>
          <w:sz w:val="22"/>
          <w:szCs w:val="22"/>
          <w:lang w:val="en-GB"/>
        </w:rPr>
        <w:t xml:space="preserve"> Christians to Rome for study at the Maronite College (f. 1584) and the Collegio Urbano (f. 1627).</w:t>
      </w:r>
      <w:r w:rsidRPr="00440B9F">
        <w:rPr>
          <w:rStyle w:val="FootnoteReference"/>
          <w:rFonts w:ascii="Palatino Linotype" w:hAnsi="Palatino Linotype"/>
          <w:color w:val="000000"/>
          <w:sz w:val="22"/>
          <w:szCs w:val="22"/>
          <w:lang w:val="en-GB"/>
        </w:rPr>
        <w:footnoteReference w:id="67"/>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ab/>
        <w:t>Two ecclesiastical movements emerged from this missionary encounter. Firstly, Latin-rite churches developed as outposts under the auspices of European missionaries. These ‘Frank’ churches were directed by Latin missionaries and were recognised as different from the ‘Native’, Rome-linked churches.</w:t>
      </w:r>
      <w:r w:rsidRPr="00440B9F">
        <w:rPr>
          <w:rStyle w:val="FootnoteReference"/>
          <w:rFonts w:ascii="Palatino Linotype" w:hAnsi="Palatino Linotype"/>
          <w:color w:val="000000"/>
          <w:sz w:val="22"/>
          <w:szCs w:val="22"/>
          <w:lang w:val="en-GB"/>
        </w:rPr>
        <w:footnoteReference w:id="68"/>
      </w:r>
      <w:r w:rsidRPr="00440B9F">
        <w:rPr>
          <w:rFonts w:ascii="Palatino Linotype" w:hAnsi="Palatino Linotype"/>
          <w:color w:val="000000"/>
          <w:sz w:val="22"/>
          <w:szCs w:val="22"/>
          <w:lang w:val="en-GB"/>
        </w:rPr>
        <w:t xml:space="preserve"> A second affect was the creation of new churches within the </w:t>
      </w:r>
      <w:r w:rsidRPr="00440B9F">
        <w:rPr>
          <w:rFonts w:ascii="Palatino Linotype" w:hAnsi="Palatino Linotype"/>
          <w:i/>
          <w:color w:val="000000"/>
          <w:sz w:val="22"/>
          <w:szCs w:val="22"/>
          <w:lang w:val="en-GB"/>
        </w:rPr>
        <w:t>Rum</w:t>
      </w:r>
      <w:r w:rsidRPr="00440B9F">
        <w:rPr>
          <w:rFonts w:ascii="Palatino Linotype" w:hAnsi="Palatino Linotype"/>
          <w:color w:val="000000"/>
          <w:sz w:val="22"/>
          <w:szCs w:val="22"/>
          <w:lang w:val="en-GB"/>
        </w:rPr>
        <w:t>, such as the Greek Catholic (also referred to as Melchite), and the strengthening of other Rome-linked communities, like the Maronites.</w:t>
      </w:r>
      <w:r w:rsidRPr="00440B9F">
        <w:rPr>
          <w:rStyle w:val="FootnoteReference"/>
          <w:rFonts w:ascii="Palatino Linotype" w:hAnsi="Palatino Linotype"/>
          <w:color w:val="000000"/>
          <w:sz w:val="22"/>
          <w:szCs w:val="22"/>
          <w:lang w:val="en-GB"/>
        </w:rPr>
        <w:footnoteReference w:id="69"/>
      </w:r>
      <w:r w:rsidRPr="00440B9F">
        <w:rPr>
          <w:rFonts w:ascii="Palatino Linotype" w:hAnsi="Palatino Linotype"/>
          <w:color w:val="000000"/>
          <w:sz w:val="22"/>
          <w:szCs w:val="22"/>
          <w:lang w:val="en-GB"/>
        </w:rPr>
        <w:t xml:space="preserve"> These ‘Native’ churches negotiated the different influences on their communities, for they amalgamated Roman Catholic and Orthodox theologies and practices into their specific Syrian-Arab contexts.</w:t>
      </w:r>
      <w:r w:rsidRPr="00440B9F">
        <w:rPr>
          <w:rStyle w:val="FootnoteReference"/>
          <w:rFonts w:ascii="Palatino Linotype" w:hAnsi="Palatino Linotype"/>
          <w:color w:val="000000"/>
          <w:sz w:val="22"/>
          <w:szCs w:val="22"/>
          <w:lang w:val="en-GB"/>
        </w:rPr>
        <w:footnoteReference w:id="70"/>
      </w:r>
      <w:r w:rsidRPr="00440B9F">
        <w:rPr>
          <w:rFonts w:ascii="Palatino Linotype" w:hAnsi="Palatino Linotype"/>
          <w:color w:val="000000"/>
          <w:sz w:val="22"/>
          <w:szCs w:val="22"/>
          <w:lang w:val="en-GB"/>
        </w:rPr>
        <w:t xml:space="preserve"> It was through this process of negotiation and adaptation that the </w:t>
      </w:r>
      <w:r w:rsidRPr="00440B9F">
        <w:rPr>
          <w:rFonts w:ascii="Palatino Linotype" w:hAnsi="Palatino Linotype"/>
          <w:i/>
          <w:color w:val="000000"/>
          <w:sz w:val="22"/>
          <w:szCs w:val="22"/>
          <w:lang w:val="en-GB"/>
        </w:rPr>
        <w:t>Rum</w:t>
      </w:r>
      <w:r w:rsidRPr="00440B9F">
        <w:rPr>
          <w:rFonts w:ascii="Palatino Linotype" w:hAnsi="Palatino Linotype"/>
          <w:color w:val="000000"/>
          <w:sz w:val="22"/>
          <w:szCs w:val="22"/>
          <w:lang w:val="en-GB"/>
        </w:rPr>
        <w:t xml:space="preserve"> fragmented.</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Examining the emergence of the Greek Catholic Church illuminates details of this fragmentation. The Greek Catholic Church originated as a Rome-linked branch within the Greek Orthodox Church. A dispute over the Antioch Patriarchate in 1724 resulted in the splintering off of the Greek Catholic community, although the denomination was not officially recognised by the Porte until 1839.</w:t>
      </w:r>
      <w:r w:rsidRPr="00440B9F">
        <w:rPr>
          <w:rStyle w:val="FootnoteReference"/>
          <w:rFonts w:ascii="Palatino Linotype" w:hAnsi="Palatino Linotype"/>
          <w:color w:val="000000"/>
          <w:sz w:val="22"/>
          <w:szCs w:val="22"/>
          <w:lang w:val="en-GB"/>
        </w:rPr>
        <w:footnoteReference w:id="71"/>
      </w:r>
      <w:r w:rsidRPr="00440B9F">
        <w:rPr>
          <w:rFonts w:ascii="Palatino Linotype" w:hAnsi="Palatino Linotype"/>
          <w:color w:val="000000"/>
          <w:sz w:val="22"/>
          <w:szCs w:val="22"/>
          <w:lang w:val="en-GB"/>
        </w:rPr>
        <w:t xml:space="preserve"> Greek Catholics fused many Eastern-rite traditions with Latin practices to create a hybrid worship style. For example, icons were used as part of their worship, particularly during the </w:t>
      </w:r>
      <w:r w:rsidRPr="00440B9F">
        <w:rPr>
          <w:rFonts w:ascii="Palatino Linotype" w:hAnsi="Palatino Linotype"/>
          <w:i/>
          <w:color w:val="000000"/>
          <w:sz w:val="22"/>
          <w:szCs w:val="22"/>
          <w:lang w:val="en-GB"/>
        </w:rPr>
        <w:t>theosis</w:t>
      </w:r>
      <w:r w:rsidRPr="00440B9F">
        <w:rPr>
          <w:rFonts w:ascii="Palatino Linotype" w:hAnsi="Palatino Linotype"/>
          <w:color w:val="000000"/>
          <w:sz w:val="22"/>
          <w:szCs w:val="22"/>
          <w:lang w:val="en-GB"/>
        </w:rPr>
        <w:t xml:space="preserve"> (divinisation) experience, even though the use of icons was not endorsed by the Pope.</w:t>
      </w:r>
      <w:r w:rsidRPr="00440B9F">
        <w:rPr>
          <w:rStyle w:val="FootnoteReference"/>
          <w:rFonts w:ascii="Palatino Linotype" w:hAnsi="Palatino Linotype"/>
          <w:color w:val="000000"/>
          <w:sz w:val="22"/>
          <w:szCs w:val="22"/>
          <w:lang w:val="en-GB"/>
        </w:rPr>
        <w:footnoteReference w:id="72"/>
      </w:r>
      <w:r w:rsidRPr="00440B9F">
        <w:rPr>
          <w:rFonts w:ascii="Palatino Linotype" w:hAnsi="Palatino Linotype"/>
          <w:color w:val="000000"/>
          <w:sz w:val="22"/>
          <w:szCs w:val="22"/>
          <w:lang w:val="en-GB"/>
        </w:rPr>
        <w:t xml:space="preserve"> Arabic became the language of worship, instead of Latin, Greek or Syriac, which distanced this church from both Orthodoxy and Roman Catholicism.</w:t>
      </w:r>
      <w:r w:rsidRPr="00440B9F">
        <w:rPr>
          <w:rStyle w:val="FootnoteReference"/>
          <w:rFonts w:ascii="Palatino Linotype" w:hAnsi="Palatino Linotype"/>
          <w:color w:val="000000"/>
          <w:sz w:val="22"/>
          <w:szCs w:val="22"/>
          <w:lang w:val="en-GB"/>
        </w:rPr>
        <w:footnoteReference w:id="73"/>
      </w:r>
      <w:r w:rsidRPr="00440B9F">
        <w:rPr>
          <w:rFonts w:ascii="Palatino Linotype" w:hAnsi="Palatino Linotype"/>
          <w:color w:val="000000"/>
          <w:sz w:val="22"/>
          <w:szCs w:val="22"/>
          <w:lang w:val="en-GB"/>
        </w:rPr>
        <w:t xml:space="preserve"> Tensions occasionally erupted within the community between Eastern-rite and Latin-rite branches, such as the conflict over replacing the Julian with the Gregorian calendar during the 1850s.</w:t>
      </w:r>
      <w:r w:rsidRPr="00440B9F">
        <w:rPr>
          <w:rFonts w:ascii="Palatino Linotype" w:hAnsi="Palatino Linotype"/>
          <w:color w:val="000000"/>
          <w:sz w:val="22"/>
          <w:szCs w:val="22"/>
          <w:vertAlign w:val="superscript"/>
          <w:lang w:val="en-GB"/>
        </w:rPr>
        <w:footnoteReference w:id="74"/>
      </w:r>
      <w:r w:rsidRPr="00440B9F">
        <w:rPr>
          <w:rFonts w:ascii="Palatino Linotype" w:hAnsi="Palatino Linotype"/>
          <w:color w:val="000000"/>
          <w:sz w:val="22"/>
          <w:szCs w:val="22"/>
          <w:lang w:val="en-GB"/>
        </w:rPr>
        <w:t xml:space="preserve"> Nonetheless, in 1839, the Porte recognised the authority of the Greek Catholic Patriarch and in 1845, a distinct Greek Catholic millet was created.</w:t>
      </w:r>
      <w:r w:rsidRPr="00440B9F">
        <w:rPr>
          <w:rStyle w:val="FootnoteReference"/>
          <w:rFonts w:ascii="Palatino Linotype" w:hAnsi="Palatino Linotype"/>
          <w:color w:val="000000"/>
          <w:sz w:val="22"/>
          <w:szCs w:val="22"/>
          <w:lang w:val="en-GB"/>
        </w:rPr>
        <w:footnoteReference w:id="75"/>
      </w:r>
      <w:r w:rsidRPr="00440B9F">
        <w:rPr>
          <w:rFonts w:ascii="Palatino Linotype" w:hAnsi="Palatino Linotype"/>
          <w:color w:val="000000"/>
          <w:sz w:val="22"/>
          <w:szCs w:val="22"/>
          <w:lang w:val="en-GB"/>
        </w:rPr>
        <w:t xml:space="preserve"> In doing so, the Greek Catholic community was established as a unique ecclesiastical community that was separate from both the Greek Orthodox and Roman Catholic Churches.</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ab/>
        <w:t xml:space="preserve">The Maronite community underwent a similar process of negotiation between the </w:t>
      </w:r>
      <w:r w:rsidRPr="00440B9F">
        <w:rPr>
          <w:rFonts w:ascii="Palatino Linotype" w:hAnsi="Palatino Linotype"/>
          <w:i/>
          <w:color w:val="000000"/>
          <w:sz w:val="22"/>
          <w:szCs w:val="22"/>
          <w:lang w:val="en-GB"/>
        </w:rPr>
        <w:t>Rum</w:t>
      </w:r>
      <w:r w:rsidRPr="00440B9F">
        <w:rPr>
          <w:rFonts w:ascii="Palatino Linotype" w:hAnsi="Palatino Linotype"/>
          <w:color w:val="000000"/>
          <w:sz w:val="22"/>
          <w:szCs w:val="22"/>
          <w:lang w:val="en-GB"/>
        </w:rPr>
        <w:t xml:space="preserve"> and Rome. The Maronites’ affiliation with Rome commenced in 1182 and was renewed through the Council of Florence in 1439 and the founding of the Maronite College in Rome in 1584. Despite this longevity of communion however, Maronite ‘rites and Liturgies present a chequered patchwork’ of Orthodox and Latin influences.</w:t>
      </w:r>
      <w:r w:rsidRPr="00440B9F">
        <w:rPr>
          <w:rStyle w:val="FootnoteReference"/>
          <w:rFonts w:ascii="Palatino Linotype" w:hAnsi="Palatino Linotype"/>
          <w:color w:val="000000"/>
          <w:sz w:val="22"/>
          <w:szCs w:val="22"/>
          <w:lang w:val="en-GB"/>
        </w:rPr>
        <w:footnoteReference w:id="76"/>
      </w:r>
      <w:r w:rsidRPr="00440B9F">
        <w:rPr>
          <w:rFonts w:ascii="Palatino Linotype" w:hAnsi="Palatino Linotype"/>
          <w:color w:val="000000"/>
          <w:sz w:val="22"/>
          <w:szCs w:val="22"/>
          <w:lang w:val="en-GB"/>
        </w:rPr>
        <w:t xml:space="preserve"> For example, although the upper echelon of the Maronite clergy were celibate monastics (both a Latin and Orthodox practice), the parish priests could be married and were elected amongst the congregation (an Orthodox practice).</w:t>
      </w:r>
      <w:r w:rsidRPr="00440B9F">
        <w:rPr>
          <w:rStyle w:val="FootnoteReference"/>
          <w:rFonts w:ascii="Palatino Linotype" w:hAnsi="Palatino Linotype"/>
          <w:color w:val="000000"/>
          <w:sz w:val="22"/>
          <w:szCs w:val="22"/>
          <w:lang w:val="en-GB"/>
        </w:rPr>
        <w:footnoteReference w:id="77"/>
      </w:r>
      <w:r w:rsidRPr="00440B9F">
        <w:rPr>
          <w:rFonts w:ascii="Palatino Linotype" w:hAnsi="Palatino Linotype"/>
          <w:color w:val="000000"/>
          <w:sz w:val="22"/>
          <w:szCs w:val="22"/>
          <w:lang w:val="en-GB"/>
        </w:rPr>
        <w:t xml:space="preserve"> The Maronite liturgy was performed in Syriac, although after the seventeenth century some aspects of the service, including the Gospel reading and chants, were conducted in Arabic.</w:t>
      </w:r>
      <w:r w:rsidRPr="00440B9F">
        <w:rPr>
          <w:rStyle w:val="FootnoteReference"/>
          <w:rFonts w:ascii="Palatino Linotype" w:hAnsi="Palatino Linotype"/>
          <w:color w:val="000000"/>
          <w:sz w:val="22"/>
          <w:szCs w:val="22"/>
          <w:lang w:val="en-GB"/>
        </w:rPr>
        <w:footnoteReference w:id="78"/>
      </w:r>
      <w:r w:rsidRPr="00440B9F">
        <w:rPr>
          <w:rFonts w:ascii="Palatino Linotype" w:hAnsi="Palatino Linotype"/>
          <w:color w:val="000000"/>
          <w:sz w:val="22"/>
          <w:szCs w:val="22"/>
          <w:lang w:val="en-GB"/>
        </w:rPr>
        <w:t xml:space="preserve"> The Church’s unique position was demarcated at a number of synods. The Lebanese Synod, held in 1736, at the </w:t>
      </w:r>
      <w:r w:rsidRPr="00440B9F">
        <w:rPr>
          <w:rFonts w:ascii="Palatino Linotype" w:hAnsi="Palatino Linotype"/>
          <w:sz w:val="22"/>
          <w:szCs w:val="22"/>
          <w:lang w:val="en-GB"/>
        </w:rPr>
        <w:t xml:space="preserve">Monastery of Saiyidat al-Luwayah, north of Beirut was an important meeting that deepened the latinization of the Maronite Church, but in a manner that emphasised the Maronites’ unique status within the </w:t>
      </w:r>
      <w:r w:rsidRPr="00440B9F">
        <w:rPr>
          <w:rFonts w:ascii="Palatino Linotype" w:hAnsi="Palatino Linotype"/>
          <w:i/>
          <w:sz w:val="22"/>
          <w:szCs w:val="22"/>
          <w:lang w:val="en-GB"/>
        </w:rPr>
        <w:t>Rum</w:t>
      </w:r>
      <w:r w:rsidRPr="00440B9F">
        <w:rPr>
          <w:rFonts w:ascii="Palatino Linotype" w:hAnsi="Palatino Linotype"/>
          <w:sz w:val="22"/>
          <w:szCs w:val="22"/>
          <w:lang w:val="en-GB"/>
        </w:rPr>
        <w:t>.</w:t>
      </w:r>
      <w:r w:rsidRPr="00440B9F">
        <w:rPr>
          <w:rStyle w:val="FootnoteReference"/>
          <w:rFonts w:ascii="Palatino Linotype" w:hAnsi="Palatino Linotype"/>
          <w:sz w:val="22"/>
          <w:szCs w:val="22"/>
          <w:lang w:val="en-GB"/>
        </w:rPr>
        <w:footnoteReference w:id="79"/>
      </w:r>
      <w:r w:rsidRPr="00440B9F">
        <w:rPr>
          <w:rFonts w:ascii="Palatino Linotype" w:hAnsi="Palatino Linotype"/>
          <w:sz w:val="22"/>
          <w:szCs w:val="22"/>
          <w:lang w:val="en-GB"/>
        </w:rPr>
        <w:t xml:space="preserve"> At this meeting, the Maronites accepted the </w:t>
      </w:r>
      <w:r w:rsidRPr="00440B9F">
        <w:rPr>
          <w:rFonts w:ascii="Palatino Linotype" w:hAnsi="Palatino Linotype"/>
          <w:i/>
          <w:sz w:val="22"/>
          <w:szCs w:val="22"/>
          <w:lang w:val="en-GB"/>
        </w:rPr>
        <w:t>Filioque,</w:t>
      </w:r>
      <w:r w:rsidRPr="00440B9F">
        <w:rPr>
          <w:rFonts w:ascii="Palatino Linotype" w:hAnsi="Palatino Linotype"/>
          <w:sz w:val="22"/>
          <w:szCs w:val="22"/>
          <w:lang w:val="en-GB"/>
        </w:rPr>
        <w:t xml:space="preserve"> a Latin catechism and the inclusion of prayers for the Pope during the liturgy. Clerical marriages were limited to parish priests, while regulations for monastic orders were established, including the separation of men and women within religious orders and at convents.</w:t>
      </w:r>
      <w:r w:rsidRPr="00440B9F">
        <w:rPr>
          <w:rStyle w:val="FootnoteReference"/>
          <w:rFonts w:ascii="Palatino Linotype" w:hAnsi="Palatino Linotype"/>
          <w:sz w:val="22"/>
          <w:szCs w:val="22"/>
          <w:lang w:val="en-GB"/>
        </w:rPr>
        <w:footnoteReference w:id="80"/>
      </w:r>
      <w:r w:rsidRPr="00440B9F">
        <w:rPr>
          <w:rFonts w:ascii="Palatino Linotype" w:hAnsi="Palatino Linotype"/>
          <w:sz w:val="22"/>
          <w:szCs w:val="22"/>
          <w:lang w:val="en-GB"/>
        </w:rPr>
        <w:t xml:space="preserve"> Subsequent synods were organised, where the Maronites carved their position amongst the European-Latin and Greek Orthodox-</w:t>
      </w:r>
      <w:r w:rsidRPr="00440B9F">
        <w:rPr>
          <w:rFonts w:ascii="Palatino Linotype" w:hAnsi="Palatino Linotype"/>
          <w:i/>
          <w:sz w:val="22"/>
          <w:szCs w:val="22"/>
          <w:lang w:val="en-GB"/>
        </w:rPr>
        <w:t xml:space="preserve">Rum </w:t>
      </w:r>
      <w:r w:rsidRPr="00440B9F">
        <w:rPr>
          <w:rFonts w:ascii="Palatino Linotype" w:hAnsi="Palatino Linotype"/>
          <w:sz w:val="22"/>
          <w:szCs w:val="22"/>
          <w:lang w:val="en-GB"/>
        </w:rPr>
        <w:t>churches.</w:t>
      </w:r>
      <w:r w:rsidRPr="00440B9F">
        <w:rPr>
          <w:rStyle w:val="FootnoteReference"/>
          <w:rFonts w:ascii="Palatino Linotype" w:hAnsi="Palatino Linotype"/>
          <w:sz w:val="22"/>
          <w:szCs w:val="22"/>
          <w:lang w:val="en-GB"/>
        </w:rPr>
        <w:footnoteReference w:id="81"/>
      </w:r>
      <w:r w:rsidRPr="00440B9F">
        <w:rPr>
          <w:rFonts w:ascii="Palatino Linotype" w:hAnsi="Palatino Linotype"/>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The fragmentation of the </w:t>
      </w:r>
      <w:r w:rsidRPr="00440B9F">
        <w:rPr>
          <w:rFonts w:ascii="Palatino Linotype" w:hAnsi="Palatino Linotype"/>
          <w:i/>
          <w:sz w:val="22"/>
          <w:szCs w:val="22"/>
          <w:lang w:val="en-GB"/>
        </w:rPr>
        <w:t>Rum</w:t>
      </w:r>
      <w:r w:rsidRPr="00440B9F">
        <w:rPr>
          <w:rFonts w:ascii="Palatino Linotype" w:hAnsi="Palatino Linotype"/>
          <w:sz w:val="22"/>
          <w:szCs w:val="22"/>
          <w:lang w:val="en-GB"/>
        </w:rPr>
        <w:t xml:space="preserve"> </w:t>
      </w:r>
      <w:r w:rsidRPr="00440B9F">
        <w:rPr>
          <w:rFonts w:ascii="Palatino Linotype" w:hAnsi="Palatino Linotype"/>
          <w:color w:val="000000"/>
          <w:sz w:val="22"/>
          <w:szCs w:val="22"/>
          <w:lang w:val="en-GB"/>
        </w:rPr>
        <w:t xml:space="preserve">was contemporaneous with other assertions of regional, ethnic and religious autonomy by groups around the Ottoman Empire, so that the reforms of the </w:t>
      </w:r>
      <w:r w:rsidRPr="00440B9F">
        <w:rPr>
          <w:rFonts w:ascii="Palatino Linotype" w:hAnsi="Palatino Linotype"/>
          <w:i/>
          <w:color w:val="000000"/>
          <w:sz w:val="22"/>
          <w:szCs w:val="22"/>
          <w:lang w:val="en-GB"/>
        </w:rPr>
        <w:t>Tanzimat</w:t>
      </w:r>
      <w:r w:rsidRPr="00440B9F">
        <w:rPr>
          <w:rFonts w:ascii="Palatino Linotype" w:hAnsi="Palatino Linotype"/>
          <w:color w:val="000000"/>
          <w:sz w:val="22"/>
          <w:szCs w:val="22"/>
          <w:lang w:val="en-GB"/>
        </w:rPr>
        <w:t xml:space="preserve"> can be interpreted as an attempt by the Porte to regulate independent reconfigurations of political and religious identities. For example, it was shortly before or during the </w:t>
      </w:r>
      <w:r w:rsidRPr="00440B9F">
        <w:rPr>
          <w:rFonts w:ascii="Palatino Linotype" w:hAnsi="Palatino Linotype"/>
          <w:i/>
          <w:color w:val="000000"/>
          <w:sz w:val="22"/>
          <w:szCs w:val="22"/>
          <w:lang w:val="en-GB"/>
        </w:rPr>
        <w:t>Tanzimat</w:t>
      </w:r>
      <w:r w:rsidRPr="00440B9F">
        <w:rPr>
          <w:rFonts w:ascii="Palatino Linotype" w:hAnsi="Palatino Linotype"/>
          <w:color w:val="000000"/>
          <w:sz w:val="22"/>
          <w:szCs w:val="22"/>
          <w:lang w:val="en-GB"/>
        </w:rPr>
        <w:t xml:space="preserve"> that new churches were recognised as distinct ecclesiastical-political structures or </w:t>
      </w:r>
      <w:r w:rsidRPr="00440B9F">
        <w:rPr>
          <w:rFonts w:ascii="Palatino Linotype" w:hAnsi="Palatino Linotype"/>
          <w:i/>
          <w:color w:val="000000"/>
          <w:sz w:val="22"/>
          <w:szCs w:val="22"/>
          <w:lang w:val="en-GB"/>
        </w:rPr>
        <w:t>millets</w:t>
      </w:r>
      <w:r w:rsidRPr="00440B9F">
        <w:rPr>
          <w:rFonts w:ascii="Palatino Linotype" w:hAnsi="Palatino Linotype"/>
          <w:color w:val="000000"/>
          <w:sz w:val="22"/>
          <w:szCs w:val="22"/>
          <w:lang w:val="en-GB"/>
        </w:rPr>
        <w:t>: the Armenian Catholics in 1831, Greek Catholics in 1848 and the Protestants in 1850.</w:t>
      </w:r>
      <w:r w:rsidRPr="00440B9F">
        <w:rPr>
          <w:rFonts w:ascii="Palatino Linotype" w:hAnsi="Palatino Linotype"/>
          <w:color w:val="000000"/>
          <w:sz w:val="22"/>
          <w:szCs w:val="22"/>
          <w:vertAlign w:val="superscript"/>
          <w:lang w:val="en-GB"/>
        </w:rPr>
        <w:footnoteReference w:id="82"/>
      </w:r>
      <w:r w:rsidRPr="00440B9F">
        <w:rPr>
          <w:rFonts w:ascii="Palatino Linotype" w:hAnsi="Palatino Linotype"/>
          <w:color w:val="000000"/>
          <w:sz w:val="22"/>
          <w:szCs w:val="22"/>
          <w:lang w:val="en-GB"/>
        </w:rPr>
        <w:t xml:space="preserve"> Such distinctions were affirmed through the pronouncement of the </w:t>
      </w:r>
      <w:r w:rsidRPr="00440B9F">
        <w:rPr>
          <w:rFonts w:ascii="Palatino Linotype" w:hAnsi="Palatino Linotype"/>
          <w:i/>
          <w:color w:val="000000"/>
          <w:sz w:val="22"/>
          <w:szCs w:val="22"/>
          <w:lang w:val="en-GB"/>
        </w:rPr>
        <w:t xml:space="preserve">Hatt-ı Humayan </w:t>
      </w:r>
      <w:r w:rsidRPr="00440B9F">
        <w:rPr>
          <w:rFonts w:ascii="Palatino Linotype" w:hAnsi="Palatino Linotype"/>
          <w:color w:val="000000"/>
          <w:sz w:val="22"/>
          <w:szCs w:val="22"/>
          <w:lang w:val="en-GB"/>
        </w:rPr>
        <w:t>in 1856, which asserted that the ‘heads of each community’ were to be organised directly under the Sublime Porte, not through the previous two patriarchs.</w:t>
      </w:r>
      <w:r w:rsidRPr="00440B9F">
        <w:rPr>
          <w:rStyle w:val="FootnoteReference"/>
          <w:rFonts w:ascii="Palatino Linotype" w:hAnsi="Palatino Linotype"/>
          <w:color w:val="000000"/>
          <w:sz w:val="22"/>
          <w:szCs w:val="22"/>
          <w:lang w:val="en-GB"/>
        </w:rPr>
        <w:footnoteReference w:id="83"/>
      </w:r>
      <w:r w:rsidRPr="00440B9F">
        <w:rPr>
          <w:rFonts w:ascii="Palatino Linotype" w:hAnsi="Palatino Linotype"/>
          <w:color w:val="000000"/>
          <w:sz w:val="22"/>
          <w:szCs w:val="22"/>
          <w:lang w:val="en-GB"/>
        </w:rPr>
        <w:t xml:space="preserve"> These different communities thus challenged the centralised and collective categorisation of Christians, through breaching the narrow confines of their individual </w:t>
      </w:r>
      <w:r w:rsidRPr="00440B9F">
        <w:rPr>
          <w:rFonts w:ascii="KoufrUni" w:hAnsi="KoufrUni" w:cs="Arial"/>
          <w:i/>
          <w:sz w:val="22"/>
          <w:szCs w:val="22"/>
          <w:lang w:val="en-GB"/>
        </w:rPr>
        <w:t>ṭ</w:t>
      </w:r>
      <w:r w:rsidRPr="00440B9F">
        <w:rPr>
          <w:rFonts w:ascii="Palatino Linotype" w:hAnsi="Palatino Linotype" w:cs="Arial"/>
          <w:i/>
          <w:sz w:val="22"/>
          <w:szCs w:val="22"/>
          <w:lang w:val="en-GB"/>
        </w:rPr>
        <w:t>ā’ifah</w:t>
      </w:r>
      <w:r w:rsidRPr="00440B9F">
        <w:rPr>
          <w:rFonts w:ascii="Palatino Linotype" w:hAnsi="Palatino Linotype"/>
          <w:i/>
          <w:color w:val="000000"/>
          <w:sz w:val="22"/>
          <w:szCs w:val="22"/>
          <w:lang w:val="en-GB"/>
        </w:rPr>
        <w:t xml:space="preserve"> </w:t>
      </w:r>
      <w:r w:rsidRPr="00440B9F">
        <w:rPr>
          <w:rFonts w:ascii="Palatino Linotype" w:hAnsi="Palatino Linotype"/>
          <w:color w:val="000000"/>
          <w:sz w:val="22"/>
          <w:szCs w:val="22"/>
          <w:lang w:val="en-GB"/>
        </w:rPr>
        <w:t>and negotiating new interpretations of faith and piety, which allowed them to be recognised as distinct Churches under the direct authority of the Porte.</w:t>
      </w:r>
      <w:r w:rsidRPr="00440B9F">
        <w:rPr>
          <w:rFonts w:ascii="Palatino Linotype" w:hAnsi="Palatino Linotype"/>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p>
    <w:p w:rsidR="00333418" w:rsidRPr="00440B9F" w:rsidRDefault="00333418" w:rsidP="001761FF">
      <w:pPr>
        <w:pStyle w:val="BodyText"/>
        <w:spacing w:line="360" w:lineRule="auto"/>
        <w:jc w:val="center"/>
        <w:rPr>
          <w:rFonts w:ascii="Arial" w:hAnsi="Arial" w:cs="Arial"/>
          <w:i/>
          <w:smallCaps/>
          <w:sz w:val="22"/>
          <w:szCs w:val="22"/>
          <w:lang w:val="en-GB"/>
        </w:rPr>
      </w:pPr>
      <w:r w:rsidRPr="00440B9F">
        <w:rPr>
          <w:rFonts w:ascii="Arial" w:hAnsi="Arial" w:cs="Arial"/>
          <w:i/>
          <w:smallCaps/>
          <w:sz w:val="22"/>
          <w:szCs w:val="22"/>
          <w:lang w:val="en-GB"/>
        </w:rPr>
        <w:t>The Struggles of the ‛abidāt</w:t>
      </w:r>
    </w:p>
    <w:p w:rsidR="00333418" w:rsidRPr="00440B9F" w:rsidRDefault="00333418" w:rsidP="001761FF">
      <w:pPr>
        <w:pStyle w:val="BodyText"/>
        <w:spacing w:line="360" w:lineRule="auto"/>
        <w:jc w:val="center"/>
        <w:rPr>
          <w:rFonts w:ascii="Arial" w:hAnsi="Arial" w:cs="Arial"/>
          <w:i/>
          <w:smallCaps/>
          <w:sz w:val="22"/>
          <w:szCs w:val="22"/>
          <w:lang w:val="en-GB"/>
        </w:rPr>
      </w:pP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 xml:space="preserve">The dissolution of the </w:t>
      </w:r>
      <w:r w:rsidRPr="00440B9F">
        <w:rPr>
          <w:rFonts w:ascii="Palatino Linotype" w:hAnsi="Palatino Linotype"/>
          <w:i/>
          <w:color w:val="000000"/>
          <w:sz w:val="22"/>
          <w:szCs w:val="22"/>
          <w:lang w:val="en-GB"/>
        </w:rPr>
        <w:t>Rum</w:t>
      </w:r>
      <w:r w:rsidRPr="00440B9F">
        <w:rPr>
          <w:rFonts w:ascii="Palatino Linotype" w:hAnsi="Palatino Linotype"/>
          <w:color w:val="000000"/>
          <w:sz w:val="22"/>
          <w:szCs w:val="22"/>
          <w:lang w:val="en-GB"/>
        </w:rPr>
        <w:t xml:space="preserve"> also affected the gendering of religious spaces within Christian communities. Examining how the activities of ‘religious’ women in the Greek Catholic and Maronite churches changed during the eighteenth and nineteenth centuries reveals the complex link between gender and the construction of religious identity,</w:t>
      </w:r>
      <w:r w:rsidRPr="00440B9F">
        <w:rPr>
          <w:rFonts w:ascii="Palatino Linotype" w:hAnsi="Palatino Linotype"/>
          <w:color w:val="000000"/>
          <w:sz w:val="22"/>
          <w:szCs w:val="22"/>
          <w:vertAlign w:val="superscript"/>
          <w:lang w:val="en-GB"/>
        </w:rPr>
        <w:footnoteReference w:id="84"/>
      </w:r>
      <w:r w:rsidRPr="00440B9F">
        <w:rPr>
          <w:rFonts w:ascii="Palatino Linotype" w:hAnsi="Palatino Linotype"/>
          <w:color w:val="000000"/>
          <w:sz w:val="22"/>
          <w:szCs w:val="22"/>
          <w:lang w:val="en-GB"/>
        </w:rPr>
        <w:t xml:space="preserve"> which not only affected these two Christian communities, but also the definitions of gender promoted by the Protestant Circle in the nineteenth century.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The history of religious women in Ottoman Syria has become a focus of academic research during recent years, as scholars seek to retell the ‘lost’ and often misconstrued stories of these women.</w:t>
      </w:r>
      <w:r w:rsidRPr="00440B9F">
        <w:rPr>
          <w:rFonts w:ascii="Palatino Linotype" w:hAnsi="Palatino Linotype"/>
          <w:color w:val="000000"/>
          <w:sz w:val="22"/>
          <w:szCs w:val="22"/>
          <w:vertAlign w:val="superscript"/>
          <w:lang w:val="en-GB"/>
        </w:rPr>
        <w:footnoteReference w:id="85"/>
      </w:r>
      <w:r w:rsidRPr="00440B9F">
        <w:rPr>
          <w:rFonts w:ascii="Palatino Linotype" w:hAnsi="Palatino Linotype"/>
          <w:color w:val="000000"/>
          <w:sz w:val="22"/>
          <w:szCs w:val="22"/>
          <w:lang w:val="en-GB"/>
        </w:rPr>
        <w:t xml:space="preserve"> In such work, the ‘religious women’ of the Maronite and Greek Catholic churches are referred to as ‛abidāt or devotees,</w:t>
      </w:r>
      <w:r w:rsidRPr="00440B9F">
        <w:rPr>
          <w:rStyle w:val="FootnoteReference"/>
          <w:rFonts w:ascii="Palatino Linotype" w:hAnsi="Palatino Linotype"/>
          <w:color w:val="000000"/>
          <w:sz w:val="22"/>
          <w:szCs w:val="22"/>
          <w:lang w:val="en-GB"/>
        </w:rPr>
        <w:footnoteReference w:id="86"/>
      </w:r>
      <w:r w:rsidRPr="00440B9F">
        <w:rPr>
          <w:rFonts w:ascii="Palatino Linotype" w:hAnsi="Palatino Linotype"/>
          <w:color w:val="000000"/>
          <w:sz w:val="22"/>
          <w:szCs w:val="22"/>
          <w:lang w:val="en-GB"/>
        </w:rPr>
        <w:t xml:space="preserve"> although some joined or established convents and were labelled by their contemporaries as nuns (</w:t>
      </w:r>
      <w:r w:rsidRPr="00440B9F">
        <w:rPr>
          <w:rFonts w:ascii="Palatino Linotype" w:hAnsi="Palatino Linotype"/>
          <w:i/>
          <w:color w:val="000000"/>
          <w:sz w:val="22"/>
          <w:szCs w:val="22"/>
          <w:lang w:val="en-GB"/>
        </w:rPr>
        <w:t>rahib</w:t>
      </w:r>
      <w:r w:rsidRPr="00440B9F">
        <w:rPr>
          <w:rFonts w:ascii="Palatino Linotype" w:hAnsi="Palatino Linotype"/>
          <w:bCs/>
          <w:i/>
          <w:color w:val="000000"/>
          <w:sz w:val="22"/>
          <w:szCs w:val="22"/>
          <w:lang w:val="en-GB"/>
        </w:rPr>
        <w:t>ā</w:t>
      </w:r>
      <w:r w:rsidRPr="00440B9F">
        <w:rPr>
          <w:rFonts w:ascii="Palatino Linotype" w:hAnsi="Palatino Linotype"/>
          <w:i/>
          <w:color w:val="000000"/>
          <w:sz w:val="22"/>
          <w:szCs w:val="22"/>
          <w:lang w:val="en-GB"/>
        </w:rPr>
        <w:t>t</w:t>
      </w:r>
      <w:r w:rsidRPr="00440B9F">
        <w:rPr>
          <w:rFonts w:ascii="Palatino Linotype" w:hAnsi="Palatino Linotype"/>
          <w:color w:val="000000"/>
          <w:sz w:val="22"/>
          <w:szCs w:val="22"/>
          <w:lang w:val="en-GB"/>
        </w:rPr>
        <w:t xml:space="preserve">; sing. </w:t>
      </w:r>
      <w:r w:rsidRPr="00440B9F">
        <w:rPr>
          <w:rFonts w:ascii="Palatino Linotype" w:hAnsi="Palatino Linotype"/>
          <w:i/>
          <w:color w:val="000000"/>
          <w:sz w:val="22"/>
          <w:szCs w:val="22"/>
          <w:lang w:val="en-GB"/>
        </w:rPr>
        <w:t>rahibah</w:t>
      </w:r>
      <w:r w:rsidRPr="00440B9F">
        <w:rPr>
          <w:rFonts w:ascii="Palatino Linotype" w:hAnsi="Palatino Linotype"/>
          <w:color w:val="000000"/>
          <w:sz w:val="22"/>
          <w:szCs w:val="22"/>
          <w:lang w:val="en-GB"/>
        </w:rPr>
        <w:t xml:space="preserve">). Others were called </w:t>
      </w:r>
      <w:r w:rsidRPr="00440B9F">
        <w:rPr>
          <w:rFonts w:ascii="Palatino Linotype" w:hAnsi="Palatino Linotype"/>
          <w:i/>
          <w:color w:val="000000"/>
          <w:sz w:val="22"/>
          <w:szCs w:val="22"/>
          <w:lang w:val="en-GB"/>
        </w:rPr>
        <w:t>btul</w:t>
      </w:r>
      <w:r w:rsidRPr="00440B9F">
        <w:rPr>
          <w:rFonts w:ascii="Palatino Linotype" w:hAnsi="Palatino Linotype"/>
          <w:color w:val="000000"/>
          <w:sz w:val="22"/>
          <w:szCs w:val="22"/>
          <w:lang w:val="en-GB"/>
        </w:rPr>
        <w:t xml:space="preserve"> (virgin) for they pursued celibate lives within their families’ homes and were tangentially associated with recognised confraternities.</w:t>
      </w:r>
      <w:r w:rsidRPr="00440B9F">
        <w:rPr>
          <w:rStyle w:val="FootnoteReference"/>
          <w:rFonts w:ascii="Palatino Linotype" w:hAnsi="Palatino Linotype"/>
          <w:color w:val="000000"/>
          <w:sz w:val="22"/>
          <w:szCs w:val="22"/>
          <w:lang w:val="en-GB"/>
        </w:rPr>
        <w:footnoteReference w:id="87"/>
      </w:r>
      <w:r w:rsidRPr="00440B9F">
        <w:rPr>
          <w:rFonts w:ascii="Palatino Linotype" w:hAnsi="Palatino Linotype"/>
          <w:color w:val="000000"/>
          <w:sz w:val="22"/>
          <w:szCs w:val="22"/>
          <w:lang w:val="en-GB"/>
        </w:rPr>
        <w:t xml:space="preserve"> The lives of these women weaved between the Greek Catholic, Maronite and Latin communities, illuminating the complexities of this fragmentation process, which makes it difficult to link the ‛abidāt to only one church. In this section, three generations of ‛abidāt will be reviewed: the Aleppine ‛abidāt under Maria Qari; Hindiyya ‘Uyagmi and her Order of the Sacred Heart; and Boutrosiya (Pierina) Shabaq al-Rayes, or the Blessed Rafqa. Following their histories shows that despite (or possibly, due to) the women’s independent pursuits of piety, they were either relegated to subordinate positions within their communities or deemed heretical by male ecclesiastics.</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 The story of the </w:t>
      </w:r>
      <w:r w:rsidRPr="00440B9F">
        <w:rPr>
          <w:rFonts w:ascii="Palatino Linotype" w:hAnsi="Palatino Linotype"/>
          <w:i/>
          <w:sz w:val="22"/>
          <w:szCs w:val="22"/>
          <w:lang w:val="en-GB"/>
        </w:rPr>
        <w:t xml:space="preserve">‛abidāt </w:t>
      </w:r>
      <w:r w:rsidRPr="00440B9F">
        <w:rPr>
          <w:rFonts w:ascii="Palatino Linotype" w:hAnsi="Palatino Linotype"/>
          <w:sz w:val="22"/>
          <w:szCs w:val="22"/>
          <w:lang w:val="en-GB"/>
        </w:rPr>
        <w:t>begins in Aleppo, which became an important site for Latin missionary activity during the seventeenth century. The religious practices and theologies presented by European missionaries added another element to this vibrant city.</w:t>
      </w:r>
      <w:r w:rsidRPr="00440B9F">
        <w:rPr>
          <w:rStyle w:val="FootnoteReference"/>
          <w:rFonts w:ascii="Palatino Linotype" w:hAnsi="Palatino Linotype"/>
          <w:sz w:val="22"/>
          <w:szCs w:val="22"/>
          <w:lang w:val="en-GB"/>
        </w:rPr>
        <w:footnoteReference w:id="88"/>
      </w:r>
      <w:r w:rsidRPr="00440B9F">
        <w:rPr>
          <w:rFonts w:ascii="Palatino Linotype" w:hAnsi="Palatino Linotype"/>
          <w:sz w:val="22"/>
          <w:szCs w:val="22"/>
          <w:lang w:val="en-GB"/>
        </w:rPr>
        <w:t xml:space="preserve"> It was from Aleppo that a group of Greek Catholic monks relocated to Mount Lebanon and founded the Shuwayrite Order at their Deir</w:t>
      </w:r>
      <w:r w:rsidRPr="00440B9F">
        <w:rPr>
          <w:rFonts w:ascii="Palatino Linotype" w:hAnsi="Palatino Linotype"/>
          <w:color w:val="000000"/>
          <w:sz w:val="22"/>
          <w:szCs w:val="22"/>
          <w:lang w:val="en-GB"/>
        </w:rPr>
        <w:t xml:space="preserve"> </w:t>
      </w:r>
      <w:r w:rsidRPr="00440B9F">
        <w:rPr>
          <w:rFonts w:ascii="Palatino Linotype" w:hAnsi="Palatino Linotype"/>
          <w:sz w:val="22"/>
          <w:szCs w:val="22"/>
          <w:lang w:val="en-GB"/>
        </w:rPr>
        <w:t xml:space="preserve">Mar Yuhanna al-Shuwayr in 1710. These innovative monks embodied the new Latin theologies, but followed the Eastern-rite monastic rule of </w:t>
      </w:r>
      <w:r w:rsidRPr="00440B9F">
        <w:rPr>
          <w:rFonts w:ascii="Palatino Linotype" w:hAnsi="Palatino Linotype"/>
          <w:color w:val="000000"/>
          <w:sz w:val="22"/>
          <w:szCs w:val="22"/>
          <w:lang w:val="en-GB"/>
        </w:rPr>
        <w:t>Saint Basil and resisted direct Latin supervision.</w:t>
      </w:r>
      <w:r w:rsidRPr="00440B9F">
        <w:rPr>
          <w:rStyle w:val="FootnoteReference"/>
          <w:rFonts w:ascii="Palatino Linotype" w:hAnsi="Palatino Linotype"/>
          <w:color w:val="000000"/>
          <w:sz w:val="22"/>
          <w:szCs w:val="22"/>
          <w:lang w:val="en-GB"/>
        </w:rPr>
        <w:footnoteReference w:id="89"/>
      </w:r>
      <w:r w:rsidRPr="00440B9F">
        <w:rPr>
          <w:rFonts w:ascii="Palatino Linotype" w:hAnsi="Palatino Linotype"/>
          <w:color w:val="000000"/>
          <w:sz w:val="22"/>
          <w:szCs w:val="22"/>
          <w:lang w:val="en-GB"/>
        </w:rPr>
        <w:t xml:space="preserve"> A similar plan was pursed by a group of Greek Catholic Aleppine women who, twenty years after their Shuwayrite brothers, moved to Mount Lebanon and established a monastery. Before moving, these ‛abidāt formed a confraternity, which was lead by Mari Qari and associated with the Jesuits. Although their proposed convent was to be linked with their Shuwayrite brothers, the ‛abidāt desired to follow the Latin Salesian-Visitandine Order and be under Jesuit spiritual authority.</w:t>
      </w:r>
      <w:r w:rsidRPr="00440B9F">
        <w:rPr>
          <w:rStyle w:val="FootnoteReference"/>
          <w:rFonts w:ascii="Palatino Linotype" w:hAnsi="Palatino Linotype"/>
          <w:color w:val="000000"/>
          <w:sz w:val="22"/>
          <w:szCs w:val="22"/>
          <w:lang w:val="en-GB"/>
        </w:rPr>
        <w:footnoteReference w:id="90"/>
      </w:r>
      <w:r w:rsidRPr="00440B9F">
        <w:rPr>
          <w:rFonts w:ascii="Palatino Linotype" w:hAnsi="Palatino Linotype"/>
          <w:color w:val="000000"/>
          <w:sz w:val="22"/>
          <w:szCs w:val="22"/>
          <w:lang w:val="en-GB"/>
        </w:rPr>
        <w:t xml:space="preserve"> The ‛abidāt’s aspiration to follow the Visitandine Order was ill-received by both the Shuwayrite monks and the Greek Catholic authorities in Aleppo. After a series of written confrontations, the ‛abidāt retracted their original proposal and, in 1736, submitted to the authority of the Shuwayrites. Using money from their dowries, the ‛abidāt consecrated their new monastery as Deir al-Bishara. However, discord again erupted amongst the ‛abidāt, the Jesuits, the Shuwayrites monks and the Greek Catholic clergy, which was resolved only through the intercession of Rome. The Pope ruled that the ‛abidāt were to follow the Eastern-rite rule promoted by the Shuwayrites and be under Shuwayrite, not Jesuit, authority. In reaction, the ‘</w:t>
      </w:r>
      <w:r w:rsidRPr="00440B9F">
        <w:rPr>
          <w:rFonts w:ascii="Palatino Linotype" w:hAnsi="Palatino Linotype"/>
          <w:i/>
          <w:color w:val="000000"/>
          <w:sz w:val="22"/>
          <w:szCs w:val="22"/>
          <w:lang w:val="en-GB"/>
        </w:rPr>
        <w:t>abidat</w:t>
      </w:r>
      <w:r w:rsidRPr="00440B9F">
        <w:rPr>
          <w:rFonts w:ascii="Palatino Linotype" w:hAnsi="Palatino Linotype"/>
          <w:color w:val="000000"/>
          <w:sz w:val="22"/>
          <w:szCs w:val="22"/>
          <w:lang w:val="en-GB"/>
        </w:rPr>
        <w:t xml:space="preserve"> left their Greek Catholic convent and relocated to the Maronite convent of Deir Mar Yuhanna at Hrash.</w:t>
      </w:r>
      <w:r w:rsidRPr="00440B9F">
        <w:rPr>
          <w:rStyle w:val="FootnoteReference"/>
          <w:rFonts w:ascii="Palatino Linotype" w:hAnsi="Palatino Linotype"/>
          <w:color w:val="000000"/>
          <w:sz w:val="22"/>
          <w:szCs w:val="22"/>
          <w:lang w:val="en-GB"/>
        </w:rPr>
        <w:footnoteReference w:id="91"/>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Meanwhile, a second generation of ‛abidāt formed in Aleppo. Central to this group was Hindiyya ‛Uyagmi, who was born Anne (Hanne) to a Maronite family in 1720. During her childhood, Hindiyya investigated Christian penitence, had mystical visions of Christ and, at the age of fifteen, joined a Jesuit sorority. Although Hindiyya asserted that Christ told her, through visions, to start a new religious community, the Order of the Sacred Heart, she joined a Jesuit-run monastery in Aintoura, Mount Lebanon, which followed the aforementioned Visitandine Order. After residing at this convent for several months, Hindiyya rejected the Visitandine Order and was sent to the Deir Mar Yuhanna at Hrash.</w:t>
      </w:r>
      <w:r w:rsidRPr="00440B9F">
        <w:rPr>
          <w:rFonts w:ascii="Palatino Linotype" w:hAnsi="Palatino Linotype"/>
          <w:color w:val="000000"/>
          <w:sz w:val="22"/>
          <w:szCs w:val="22"/>
          <w:vertAlign w:val="superscript"/>
          <w:lang w:val="en-GB"/>
        </w:rPr>
        <w:footnoteReference w:id="92"/>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ab/>
        <w:t xml:space="preserve"> It was at Mar Yuhanna that Hindiyya met her ‛abidāt foremothers.</w:t>
      </w:r>
      <w:r w:rsidRPr="00440B9F">
        <w:rPr>
          <w:rStyle w:val="FootnoteReference"/>
          <w:rFonts w:ascii="Palatino Linotype" w:hAnsi="Palatino Linotype"/>
          <w:color w:val="000000"/>
          <w:sz w:val="22"/>
          <w:szCs w:val="22"/>
          <w:lang w:val="en-GB"/>
        </w:rPr>
        <w:footnoteReference w:id="93"/>
      </w:r>
      <w:r w:rsidRPr="00440B9F">
        <w:rPr>
          <w:rFonts w:ascii="Palatino Linotype" w:hAnsi="Palatino Linotype"/>
          <w:sz w:val="22"/>
          <w:szCs w:val="22"/>
          <w:lang w:val="en-GB"/>
        </w:rPr>
        <w:t xml:space="preserve"> </w:t>
      </w:r>
      <w:r w:rsidRPr="00440B9F">
        <w:rPr>
          <w:rFonts w:ascii="Palatino Linotype" w:hAnsi="Palatino Linotype"/>
          <w:color w:val="000000"/>
          <w:sz w:val="22"/>
          <w:szCs w:val="22"/>
          <w:lang w:val="en-GB"/>
        </w:rPr>
        <w:t xml:space="preserve">Despite their similarities, Hindiyya pursued her own desire/calling to form the Order of the Sacred Heart, which was eventually sanctioned by the Maronites on Mount Lebanon and which distanced her from Qari. The Khazin </w:t>
      </w:r>
      <w:r w:rsidRPr="00440B9F">
        <w:rPr>
          <w:rFonts w:ascii="Palatino Linotype" w:hAnsi="Palatino Linotype"/>
          <w:i/>
          <w:color w:val="000000"/>
          <w:sz w:val="22"/>
          <w:szCs w:val="22"/>
          <w:lang w:val="en-GB"/>
        </w:rPr>
        <w:t xml:space="preserve">muqata‛ jī </w:t>
      </w:r>
      <w:r w:rsidRPr="00440B9F">
        <w:rPr>
          <w:rFonts w:ascii="Palatino Linotype" w:hAnsi="Palatino Linotype"/>
          <w:color w:val="000000"/>
          <w:sz w:val="22"/>
          <w:szCs w:val="22"/>
          <w:lang w:val="en-GB"/>
        </w:rPr>
        <w:t xml:space="preserve"> bestowed a </w:t>
      </w:r>
      <w:r w:rsidRPr="00440B9F">
        <w:rPr>
          <w:rFonts w:ascii="Palatino Linotype" w:hAnsi="Palatino Linotype"/>
          <w:i/>
          <w:color w:val="000000"/>
          <w:sz w:val="22"/>
          <w:szCs w:val="22"/>
          <w:lang w:val="en-GB"/>
        </w:rPr>
        <w:t>waqf</w:t>
      </w:r>
      <w:r w:rsidRPr="00440B9F">
        <w:rPr>
          <w:rFonts w:ascii="Palatino Linotype" w:hAnsi="Palatino Linotype"/>
          <w:color w:val="000000"/>
          <w:sz w:val="22"/>
          <w:szCs w:val="22"/>
          <w:lang w:val="en-GB"/>
        </w:rPr>
        <w:t xml:space="preserve"> near Bkirki for Hindiyya to build a convent. This location was close to the residency of the Maronite Patriarch, who took an interest in Hindiyya and her proposed Order, which he saw as consistent with the Papal endorsement of the theology of the Sacred Heart.</w:t>
      </w:r>
      <w:r w:rsidRPr="00440B9F">
        <w:rPr>
          <w:rFonts w:ascii="Palatino Linotype" w:hAnsi="Palatino Linotype"/>
          <w:color w:val="000000"/>
          <w:sz w:val="22"/>
          <w:szCs w:val="22"/>
          <w:vertAlign w:val="superscript"/>
          <w:lang w:val="en-GB"/>
        </w:rPr>
        <w:footnoteReference w:id="94"/>
      </w:r>
      <w:r w:rsidRPr="00440B9F">
        <w:rPr>
          <w:rFonts w:ascii="Palatino Linotype" w:hAnsi="Palatino Linotype"/>
          <w:color w:val="000000"/>
          <w:sz w:val="22"/>
          <w:szCs w:val="22"/>
          <w:lang w:val="en-GB"/>
        </w:rPr>
        <w:t xml:space="preserve">  Hindiyya’s convent opened in 1753 and various women joined her Order. Some were Hindiyya’s upper-class sisters from Aleppo, while others were women from Mount Lebanon, including Theresa al-Khazin. This second ‛abidāt community strove for spiritual perfection and direct communion with Christ, which they claimed was granted through episodes of ecstasy and in the blessing of the stigmata to Hindiyya.</w:t>
      </w:r>
      <w:r w:rsidRPr="00440B9F">
        <w:rPr>
          <w:rStyle w:val="FootnoteReference"/>
          <w:rFonts w:ascii="Palatino Linotype" w:hAnsi="Palatino Linotype"/>
          <w:color w:val="000000"/>
          <w:sz w:val="22"/>
          <w:szCs w:val="22"/>
          <w:lang w:val="en-GB"/>
        </w:rPr>
        <w:footnoteReference w:id="95"/>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Hindiyya’s attempt to receive Papal recognition for her Order was challenged by some (male) ecclesiastics in Syria, both Maronite and Jesuit. Although some defended Hindiyya’s work, the Pope ruled that the Order be abolished in 1780. After the dissolution of her Order, Hindiyya removed to a secluded monastery on Mount Lebanon and died in 1798.</w:t>
      </w:r>
      <w:r w:rsidRPr="00440B9F">
        <w:rPr>
          <w:rStyle w:val="FootnoteReference"/>
          <w:rFonts w:ascii="Palatino Linotype" w:hAnsi="Palatino Linotype"/>
          <w:color w:val="000000"/>
          <w:sz w:val="22"/>
          <w:szCs w:val="22"/>
          <w:lang w:val="en-GB"/>
        </w:rPr>
        <w:footnoteReference w:id="96"/>
      </w:r>
      <w:r w:rsidRPr="00440B9F">
        <w:rPr>
          <w:rFonts w:ascii="Palatino Linotype" w:hAnsi="Palatino Linotype"/>
          <w:color w:val="000000"/>
          <w:sz w:val="22"/>
          <w:szCs w:val="22"/>
          <w:lang w:val="en-GB"/>
        </w:rPr>
        <w:t xml:space="preserve"> The story of Hindiyya continued after her death however, as various nineteenth century travel writers retold the story of (the notorious) Hindiyya and the ‛abidāt of the Order of the Sacred Heart, possibly to criticise other women’s assertions of autonomous spirituality.</w:t>
      </w:r>
      <w:r w:rsidRPr="00440B9F">
        <w:rPr>
          <w:rStyle w:val="FootnoteReference"/>
          <w:rFonts w:ascii="Palatino Linotype" w:hAnsi="Palatino Linotype"/>
          <w:color w:val="000000"/>
          <w:sz w:val="22"/>
          <w:szCs w:val="22"/>
          <w:lang w:val="en-GB"/>
        </w:rPr>
        <w:footnoteReference w:id="97"/>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The third generation of the ‛abidāt is represented by the life of the Blessed Rafqa, born Boutrosiya (Pierina) Shabaq al-Rayes in 1832, who was a contemporary of the Protestant Circle.</w:t>
      </w:r>
      <w:r w:rsidRPr="00440B9F">
        <w:rPr>
          <w:rStyle w:val="FootnoteReference"/>
          <w:rFonts w:ascii="Palatino Linotype" w:hAnsi="Palatino Linotype"/>
          <w:color w:val="000000"/>
          <w:sz w:val="22"/>
          <w:szCs w:val="22"/>
          <w:lang w:val="en-GB"/>
        </w:rPr>
        <w:footnoteReference w:id="98"/>
      </w:r>
      <w:r w:rsidRPr="00440B9F">
        <w:rPr>
          <w:rFonts w:ascii="Palatino Linotype" w:hAnsi="Palatino Linotype"/>
          <w:color w:val="000000"/>
          <w:sz w:val="22"/>
          <w:szCs w:val="22"/>
          <w:lang w:val="en-GB"/>
        </w:rPr>
        <w:t xml:space="preserve"> After a disagreement with her father and step-mother over marriage proposals, Boutrosiya, then aged fifteen, fled to a convent run by the Maronite Marianette (Daughters of Mary of the Immaculate Conception) in Bikfayia.</w:t>
      </w:r>
      <w:r w:rsidRPr="00440B9F">
        <w:rPr>
          <w:rStyle w:val="FootnoteReference"/>
          <w:rFonts w:ascii="Palatino Linotype" w:hAnsi="Palatino Linotype"/>
          <w:color w:val="000000"/>
          <w:sz w:val="22"/>
          <w:szCs w:val="22"/>
          <w:lang w:val="en-GB"/>
        </w:rPr>
        <w:footnoteReference w:id="99"/>
      </w:r>
      <w:r w:rsidRPr="00440B9F">
        <w:rPr>
          <w:rFonts w:ascii="Palatino Linotype" w:hAnsi="Palatino Linotype"/>
          <w:color w:val="000000"/>
          <w:sz w:val="22"/>
          <w:szCs w:val="22"/>
          <w:lang w:val="en-GB"/>
        </w:rPr>
        <w:t xml:space="preserve"> Boutrosiya remained at this convent and accepted the Marianette’s vows in 1856.</w:t>
      </w:r>
      <w:r w:rsidRPr="00440B9F">
        <w:rPr>
          <w:rFonts w:ascii="Palatino Linotype" w:hAnsi="Palatino Linotype"/>
          <w:color w:val="000000"/>
          <w:sz w:val="22"/>
          <w:szCs w:val="22"/>
          <w:vertAlign w:val="superscript"/>
          <w:lang w:val="en-GB"/>
        </w:rPr>
        <w:footnoteReference w:id="100"/>
      </w:r>
      <w:r w:rsidRPr="00440B9F">
        <w:rPr>
          <w:rFonts w:ascii="Palatino Linotype" w:hAnsi="Palatino Linotype"/>
          <w:color w:val="000000"/>
          <w:sz w:val="22"/>
          <w:szCs w:val="22"/>
          <w:lang w:val="en-GB"/>
        </w:rPr>
        <w:t xml:space="preserve"> At this convent, Rafka, then named Anissa, ‘was in charge of the kitchen and was studying in preparation for teaching the rudiments of culture’.</w:t>
      </w:r>
      <w:r w:rsidRPr="00440B9F">
        <w:rPr>
          <w:rStyle w:val="FootnoteReference"/>
          <w:rFonts w:ascii="Palatino Linotype" w:hAnsi="Palatino Linotype"/>
          <w:color w:val="000000"/>
          <w:sz w:val="22"/>
          <w:szCs w:val="22"/>
          <w:lang w:val="en-GB"/>
        </w:rPr>
        <w:footnoteReference w:id="101"/>
      </w:r>
      <w:r w:rsidRPr="00440B9F">
        <w:rPr>
          <w:rFonts w:ascii="Palatino Linotype" w:hAnsi="Palatino Linotype"/>
          <w:color w:val="000000"/>
          <w:sz w:val="22"/>
          <w:szCs w:val="22"/>
          <w:lang w:val="en-GB"/>
        </w:rPr>
        <w:t xml:space="preserve"> Sister Anissa also taught ‘religious instruction in a spinning-mill in Scerbanieh’, a nearby town.</w:t>
      </w:r>
      <w:r w:rsidRPr="00440B9F">
        <w:rPr>
          <w:rStyle w:val="FootnoteReference"/>
          <w:rFonts w:ascii="Palatino Linotype" w:hAnsi="Palatino Linotype"/>
          <w:color w:val="000000"/>
          <w:sz w:val="22"/>
          <w:szCs w:val="22"/>
          <w:lang w:val="en-GB"/>
        </w:rPr>
        <w:footnoteReference w:id="102"/>
      </w:r>
      <w:r w:rsidRPr="00440B9F">
        <w:rPr>
          <w:rFonts w:ascii="Palatino Linotype" w:hAnsi="Palatino Linotype"/>
          <w:color w:val="000000"/>
          <w:sz w:val="22"/>
          <w:szCs w:val="22"/>
          <w:lang w:val="en-GB"/>
        </w:rPr>
        <w:t xml:space="preserve"> After accepting her final vows, Anissa relocated to a Jesuit convent in Ghazir, then to Deir al-Qamar in order to teach school children. She was residing at this city when war broke out in 1860.</w:t>
      </w:r>
      <w:r w:rsidRPr="00440B9F">
        <w:rPr>
          <w:rStyle w:val="FootnoteReference"/>
          <w:rFonts w:ascii="Palatino Linotype" w:hAnsi="Palatino Linotype"/>
          <w:color w:val="000000"/>
          <w:sz w:val="22"/>
          <w:szCs w:val="22"/>
          <w:lang w:val="en-GB"/>
        </w:rPr>
        <w:footnoteReference w:id="103"/>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ab/>
        <w:t xml:space="preserve">Although the rest of her story unfolds after the timeframe for this thesis it will be briefly reviewed in order to follow the history of the </w:t>
      </w:r>
      <w:r w:rsidRPr="00440B9F">
        <w:rPr>
          <w:rFonts w:ascii="Palatino Linotype" w:hAnsi="Palatino Linotype"/>
          <w:i/>
          <w:color w:val="000000"/>
          <w:sz w:val="22"/>
          <w:szCs w:val="22"/>
          <w:lang w:val="en-GB"/>
        </w:rPr>
        <w:t>‛abidāt</w:t>
      </w:r>
      <w:r w:rsidRPr="00440B9F">
        <w:rPr>
          <w:rFonts w:ascii="Palatino Linotype" w:hAnsi="Palatino Linotype"/>
          <w:color w:val="000000"/>
          <w:sz w:val="22"/>
          <w:szCs w:val="22"/>
          <w:lang w:val="en-GB"/>
        </w:rPr>
        <w:t>. Crises arose for Sister Anissa in the early 1870s when her Maronite Marianette Order was dissolved by/subsumed within the Jesuit Order of the Sacred Heart of Jesus. Granted the option to either recant her vows and return to the laity or join the newly established Order of the Sacred Heart of Jesus and Mary, Sister Anissa followed a vision/dream and joined the Baladiya branch of the Maronite Lebanese Order.</w:t>
      </w:r>
      <w:r w:rsidRPr="00440B9F">
        <w:rPr>
          <w:rStyle w:val="FootnoteReference"/>
          <w:rFonts w:ascii="Palatino Linotype" w:hAnsi="Palatino Linotype"/>
          <w:color w:val="000000"/>
          <w:sz w:val="22"/>
          <w:szCs w:val="22"/>
          <w:lang w:val="en-GB"/>
        </w:rPr>
        <w:footnoteReference w:id="104"/>
      </w:r>
      <w:r w:rsidRPr="00440B9F">
        <w:rPr>
          <w:rFonts w:ascii="Palatino Linotype" w:hAnsi="Palatino Linotype"/>
          <w:color w:val="000000"/>
          <w:sz w:val="22"/>
          <w:szCs w:val="22"/>
          <w:lang w:val="en-GB"/>
        </w:rPr>
        <w:t xml:space="preserve"> Similar to the Greek Catholic Shuwayrite Order, the Maronite Lebanese Order was founded by Aleppines who moved to Mount Lebanon in 1695 and was instrumental in delineating Maronite theology during the eighteenth century.</w:t>
      </w:r>
      <w:r w:rsidRPr="00440B9F">
        <w:rPr>
          <w:rStyle w:val="FootnoteReference"/>
          <w:rFonts w:ascii="Palatino Linotype" w:hAnsi="Palatino Linotype"/>
          <w:color w:val="000000"/>
          <w:sz w:val="22"/>
          <w:szCs w:val="22"/>
          <w:lang w:val="en-GB"/>
        </w:rPr>
        <w:footnoteReference w:id="105"/>
      </w:r>
      <w:r w:rsidRPr="00440B9F">
        <w:rPr>
          <w:rFonts w:ascii="Palatino Linotype" w:hAnsi="Palatino Linotype"/>
          <w:color w:val="000000"/>
          <w:sz w:val="22"/>
          <w:szCs w:val="22"/>
          <w:lang w:val="en-GB"/>
        </w:rPr>
        <w:t xml:space="preserve"> It was within the Maronite Baladiya Order that Anissa was renamed Rafqa, took the vows of celibacy, chastity and obedience, and suffered from various ailments that left her bed-ridden. Rafqa asserted that her ailments were ‘[for] the glory of God, in communion with Christ’s Passion!’</w:t>
      </w:r>
      <w:r w:rsidRPr="00440B9F">
        <w:rPr>
          <w:rStyle w:val="FootnoteReference"/>
          <w:rFonts w:ascii="Palatino Linotype" w:hAnsi="Palatino Linotype"/>
          <w:color w:val="000000"/>
          <w:sz w:val="22"/>
          <w:szCs w:val="22"/>
          <w:lang w:val="en-GB"/>
        </w:rPr>
        <w:footnoteReference w:id="106"/>
      </w:r>
      <w:r w:rsidRPr="00440B9F">
        <w:rPr>
          <w:rFonts w:ascii="Palatino Linotype" w:hAnsi="Palatino Linotype"/>
          <w:color w:val="000000"/>
          <w:sz w:val="22"/>
          <w:szCs w:val="22"/>
          <w:lang w:val="en-GB"/>
        </w:rPr>
        <w:t xml:space="preserve"> Many argue that it was her acceptance of suffering that marked Rafqa as being blessed by God, and which, along with other miraculous associations, resulted in her canonisation in 2001.</w:t>
      </w:r>
      <w:r w:rsidRPr="00440B9F">
        <w:rPr>
          <w:rStyle w:val="FootnoteReference"/>
          <w:rFonts w:ascii="Palatino Linotype" w:hAnsi="Palatino Linotype"/>
          <w:color w:val="000000"/>
          <w:sz w:val="22"/>
          <w:szCs w:val="22"/>
          <w:lang w:val="en-GB"/>
        </w:rPr>
        <w:footnoteReference w:id="107"/>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ab/>
        <w:t xml:space="preserve">Tracing these narratives grants further insight onto the transformations within Christian communities, specifically the complex process through which Christian communities became distinct from each other during the eighteenth and nineteenth centuries. The first and second generations of ‛abidāt explored the spaces and theologies offered by Jesuit, Greek Catholic and Maronite communities. It was only with Rafqa, in the mid to late nineteenth century, after distinct millets were established, that the ‛abidāt’s activities were contained within one Syrian </w:t>
      </w:r>
      <w:r w:rsidRPr="00440B9F">
        <w:rPr>
          <w:rFonts w:ascii="Palatino Linotype" w:hAnsi="Palatino Linotype"/>
          <w:i/>
          <w:color w:val="000000"/>
          <w:sz w:val="22"/>
          <w:szCs w:val="22"/>
          <w:lang w:val="en-GB"/>
        </w:rPr>
        <w:t>tai’fa</w:t>
      </w:r>
      <w:r w:rsidRPr="00440B9F">
        <w:rPr>
          <w:rFonts w:ascii="Palatino Linotype" w:hAnsi="Palatino Linotype"/>
          <w:color w:val="000000"/>
          <w:sz w:val="22"/>
          <w:szCs w:val="22"/>
          <w:lang w:val="en-GB"/>
        </w:rPr>
        <w:t>/church. However, even Rafqa’s struggles were not limited to a homogenous group, for she negotiated the different branches within the Maronite Church and the influence of Jesuit missionaries.</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 xml:space="preserve">The histories of the ‛abidāt also reveal how these changes affected the gendering of Christian communities, which problematises historical perceptions on women in the Middle East. For example, the </w:t>
      </w:r>
      <w:r w:rsidRPr="00440B9F">
        <w:rPr>
          <w:rFonts w:ascii="Palatino Linotype" w:hAnsi="Palatino Linotype"/>
          <w:i/>
          <w:color w:val="000000"/>
          <w:sz w:val="22"/>
          <w:szCs w:val="22"/>
          <w:lang w:val="en-GB"/>
        </w:rPr>
        <w:t xml:space="preserve">‛abidāt </w:t>
      </w:r>
      <w:r w:rsidRPr="00440B9F">
        <w:rPr>
          <w:rFonts w:ascii="Palatino Linotype" w:hAnsi="Palatino Linotype"/>
          <w:color w:val="000000"/>
          <w:sz w:val="22"/>
          <w:szCs w:val="22"/>
          <w:lang w:val="en-GB"/>
        </w:rPr>
        <w:t xml:space="preserve">were remarkably mobile, for they moved to various locations around Ottoman Syria in pursuit of their own spirituality. These women also challenged the authority of their parents and rejected the custom of marriage, which necessitated the construction of new, ‘kinship’ alliances with others in their Orders.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Despite this mobility and autonomy, the activities of the ‛abidāt became increasingly regulated and confined by (male) ecclesiastic authorities.</w:t>
      </w:r>
      <w:r w:rsidRPr="00440B9F">
        <w:rPr>
          <w:rStyle w:val="FootnoteReference"/>
          <w:rFonts w:ascii="Palatino Linotype" w:hAnsi="Palatino Linotype"/>
          <w:color w:val="000000"/>
          <w:sz w:val="22"/>
          <w:szCs w:val="22"/>
          <w:lang w:val="en-GB"/>
        </w:rPr>
        <w:footnoteReference w:id="108"/>
      </w:r>
      <w:r w:rsidRPr="00440B9F">
        <w:rPr>
          <w:rFonts w:ascii="Palatino Linotype" w:hAnsi="Palatino Linotype"/>
          <w:color w:val="000000"/>
          <w:sz w:val="22"/>
          <w:szCs w:val="22"/>
          <w:lang w:val="en-GB"/>
        </w:rPr>
        <w:t xml:space="preserve"> For example, the ‘acceptable’ locations for the ‛abidāt changed from the parental home and mixed sex monastery to the more formalised religious home, single sex monastery and schools by the nineteenth century, which placed the </w:t>
      </w:r>
      <w:r w:rsidRPr="00440B9F">
        <w:rPr>
          <w:rFonts w:ascii="Palatino Linotype" w:hAnsi="Palatino Linotype"/>
          <w:i/>
          <w:color w:val="000000"/>
          <w:sz w:val="22"/>
          <w:szCs w:val="22"/>
          <w:lang w:val="en-GB"/>
        </w:rPr>
        <w:t xml:space="preserve">‛abidāt </w:t>
      </w:r>
      <w:r w:rsidRPr="00440B9F">
        <w:rPr>
          <w:rFonts w:ascii="Palatino Linotype" w:hAnsi="Palatino Linotype"/>
          <w:color w:val="000000"/>
          <w:sz w:val="22"/>
          <w:szCs w:val="22"/>
          <w:lang w:val="en-GB"/>
        </w:rPr>
        <w:t>under the tighter control of (male) ecclesiastical leaders.</w:t>
      </w:r>
      <w:r w:rsidRPr="00440B9F">
        <w:rPr>
          <w:rFonts w:ascii="Palatino Linotype" w:hAnsi="Palatino Linotype"/>
          <w:color w:val="000000"/>
          <w:sz w:val="22"/>
          <w:szCs w:val="22"/>
          <w:vertAlign w:val="superscript"/>
          <w:lang w:val="en-GB"/>
        </w:rPr>
        <w:footnoteReference w:id="109"/>
      </w:r>
      <w:r w:rsidRPr="00440B9F">
        <w:rPr>
          <w:rFonts w:ascii="Palatino Linotype" w:hAnsi="Palatino Linotype"/>
          <w:color w:val="000000"/>
          <w:sz w:val="22"/>
          <w:szCs w:val="22"/>
          <w:lang w:val="en-GB"/>
        </w:rPr>
        <w:t xml:space="preserve"> Although the </w:t>
      </w:r>
      <w:r w:rsidRPr="00440B9F">
        <w:rPr>
          <w:rFonts w:ascii="Palatino Linotype" w:hAnsi="Palatino Linotype"/>
          <w:i/>
          <w:color w:val="000000"/>
          <w:sz w:val="22"/>
          <w:szCs w:val="22"/>
          <w:lang w:val="en-GB"/>
        </w:rPr>
        <w:t xml:space="preserve">‛abidāt </w:t>
      </w:r>
      <w:r w:rsidRPr="00440B9F">
        <w:rPr>
          <w:rFonts w:ascii="Palatino Linotype" w:hAnsi="Palatino Linotype"/>
          <w:color w:val="000000"/>
          <w:sz w:val="22"/>
          <w:szCs w:val="22"/>
          <w:lang w:val="en-GB"/>
        </w:rPr>
        <w:t>pursued individual union with Christ, these women were criticised when their activities did not affirm the ‘official’ changes promoted by their male colleagues or the ‘appropriate’ gender roles for women.</w:t>
      </w:r>
      <w:r w:rsidRPr="00440B9F">
        <w:rPr>
          <w:rStyle w:val="FootnoteReference"/>
          <w:rFonts w:ascii="Palatino Linotype" w:hAnsi="Palatino Linotype"/>
          <w:color w:val="000000"/>
          <w:sz w:val="22"/>
          <w:szCs w:val="22"/>
          <w:lang w:val="en-GB"/>
        </w:rPr>
        <w:footnoteReference w:id="110"/>
      </w:r>
      <w:r w:rsidRPr="00440B9F">
        <w:rPr>
          <w:rFonts w:ascii="Palatino Linotype" w:hAnsi="Palatino Linotype"/>
          <w:color w:val="000000"/>
          <w:sz w:val="22"/>
          <w:szCs w:val="22"/>
          <w:lang w:val="en-GB"/>
        </w:rPr>
        <w:t xml:space="preserve"> Thus, the eighteenth and nineteenth centuries represent a dynamic phase, when new religious identities were formulated through the mixing of theologies and practices, while gender roles within Christian groups were negotiated and reconstructed.</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p>
    <w:p w:rsidR="00333418" w:rsidRDefault="00333418" w:rsidP="001761FF">
      <w:pPr>
        <w:pStyle w:val="BodyText"/>
        <w:spacing w:line="360" w:lineRule="auto"/>
        <w:jc w:val="center"/>
        <w:outlineLvl w:val="0"/>
        <w:rPr>
          <w:rFonts w:ascii="Arial" w:hAnsi="Arial" w:cs="Arial"/>
          <w:smallCaps/>
          <w:lang w:val="en-GB"/>
        </w:rPr>
      </w:pPr>
    </w:p>
    <w:p w:rsidR="00333418" w:rsidRPr="00440B9F" w:rsidRDefault="00333418" w:rsidP="001761FF">
      <w:pPr>
        <w:pStyle w:val="BodyText"/>
        <w:spacing w:line="360" w:lineRule="auto"/>
        <w:jc w:val="center"/>
        <w:outlineLvl w:val="0"/>
        <w:rPr>
          <w:rFonts w:ascii="Arial" w:hAnsi="Arial" w:cs="Arial"/>
          <w:smallCaps/>
          <w:sz w:val="22"/>
          <w:szCs w:val="22"/>
          <w:lang w:val="en-GB"/>
        </w:rPr>
      </w:pPr>
      <w:r w:rsidRPr="00440B9F">
        <w:rPr>
          <w:rFonts w:ascii="Arial" w:hAnsi="Arial" w:cs="Arial"/>
          <w:smallCaps/>
          <w:sz w:val="22"/>
          <w:szCs w:val="22"/>
          <w:lang w:val="en-GB"/>
        </w:rPr>
        <w:t>The Rise of Beirut as a Space for New Identities</w:t>
      </w:r>
    </w:p>
    <w:p w:rsidR="00333418" w:rsidRPr="00440B9F" w:rsidRDefault="00333418" w:rsidP="001761FF">
      <w:pPr>
        <w:pStyle w:val="BodyText"/>
        <w:spacing w:line="360" w:lineRule="auto"/>
        <w:jc w:val="both"/>
        <w:rPr>
          <w:rFonts w:ascii="Palatino Linotype" w:hAnsi="Palatino Linotype"/>
          <w:smallCaps/>
          <w:sz w:val="22"/>
          <w:szCs w:val="22"/>
          <w:lang w:val="en-GB"/>
        </w:rPr>
      </w:pP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The abovementioned political, economic and religious changes significantly affected the population distribution of Ottoman Syria, as previous centres of power competed with new locations to be the nexus of regional activity. This section explores how the transformations of the late eighteenth and early nineteenth centuries were manifested in the changing cityscape and domestic architecture of Beirut, as it became the prominent port-city in Syria by the mid-nineteenth century.</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When the ABCFM missionaries first anchored off Beirut in 1823, they discovered a port in need of redevelopment. Contemporary accounts explained that it was not uncommon for ‘[the] harbour [to be] deserted for some few days; [as] there was not even an Arab boat at the anchorage’.</w:t>
      </w:r>
      <w:r w:rsidRPr="00440B9F">
        <w:rPr>
          <w:rStyle w:val="FootnoteReference"/>
          <w:rFonts w:ascii="Palatino Linotype" w:hAnsi="Palatino Linotype"/>
          <w:sz w:val="22"/>
          <w:szCs w:val="22"/>
          <w:lang w:val="en-GB"/>
        </w:rPr>
        <w:footnoteReference w:id="111"/>
      </w:r>
      <w:r w:rsidRPr="00440B9F">
        <w:rPr>
          <w:rFonts w:ascii="Palatino Linotype" w:hAnsi="Palatino Linotype"/>
          <w:sz w:val="22"/>
          <w:szCs w:val="22"/>
          <w:lang w:val="en-GB"/>
        </w:rPr>
        <w:t xml:space="preserve"> The empty state of the port reflected the relatively insignificant position of Beirut along the eastern Mediterranean coast during the early nineteenth century. The city was easy to overlook when compared to the other ports, such as Acre, Sidon and Tripoli, and it paled in both size and importance to Jerusalem, Aleppo and Damascus, which were the centres of religious, economic and political networks within Ottoman Syria.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r>
      <w:r w:rsidRPr="00440B9F">
        <w:rPr>
          <w:rFonts w:ascii="Palatino Linotype" w:hAnsi="Palatino Linotype"/>
          <w:color w:val="000000"/>
          <w:sz w:val="22"/>
          <w:szCs w:val="22"/>
          <w:lang w:val="en-GB"/>
        </w:rPr>
        <w:t>At this time, Beirut’s population numbered between 4,000 and 6,000 residents and was a mixture of Greek Orthodox, Greek Catholic and Sunni families.</w:t>
      </w:r>
      <w:r w:rsidRPr="00440B9F">
        <w:rPr>
          <w:rStyle w:val="FootnoteReference"/>
          <w:rFonts w:ascii="Palatino Linotype" w:hAnsi="Palatino Linotype"/>
          <w:color w:val="000000"/>
          <w:sz w:val="22"/>
          <w:szCs w:val="22"/>
          <w:lang w:val="en-GB"/>
        </w:rPr>
        <w:footnoteReference w:id="112"/>
      </w:r>
      <w:r w:rsidRPr="00440B9F">
        <w:rPr>
          <w:rFonts w:ascii="Palatino Linotype" w:hAnsi="Palatino Linotype"/>
          <w:sz w:val="22"/>
          <w:szCs w:val="22"/>
          <w:lang w:val="en-GB"/>
        </w:rPr>
        <w:t xml:space="preserve"> </w:t>
      </w:r>
      <w:r w:rsidRPr="00440B9F">
        <w:rPr>
          <w:rFonts w:ascii="Palatino Linotype" w:hAnsi="Palatino Linotype"/>
          <w:color w:val="000000"/>
          <w:sz w:val="22"/>
          <w:szCs w:val="22"/>
          <w:lang w:val="en-GB"/>
        </w:rPr>
        <w:t>This population was not divided into confessional quarters, but formed a multilayered and complex arrangement of neighbourhoods. This created a ‘tapestry’ of activity, where social relations influenced residency patters more so than confessional or even economic affiliations.</w:t>
      </w:r>
      <w:r w:rsidRPr="00440B9F">
        <w:rPr>
          <w:rFonts w:ascii="Palatino Linotype" w:hAnsi="Palatino Linotype"/>
          <w:color w:val="000000"/>
          <w:sz w:val="22"/>
          <w:szCs w:val="22"/>
          <w:vertAlign w:val="superscript"/>
          <w:lang w:val="en-GB"/>
        </w:rPr>
        <w:footnoteReference w:id="113"/>
      </w:r>
      <w:r w:rsidRPr="00440B9F">
        <w:rPr>
          <w:rFonts w:ascii="Palatino Linotype" w:hAnsi="Palatino Linotype"/>
          <w:color w:val="000000"/>
          <w:sz w:val="22"/>
          <w:szCs w:val="22"/>
          <w:lang w:val="en-GB"/>
        </w:rPr>
        <w:t xml:space="preserve"> As a result, Beirut’s</w:t>
      </w:r>
      <w:r w:rsidRPr="00440B9F">
        <w:rPr>
          <w:rFonts w:ascii="Palatino Linotype" w:hAnsi="Palatino Linotype"/>
          <w:sz w:val="22"/>
          <w:szCs w:val="22"/>
          <w:lang w:val="en-GB"/>
        </w:rPr>
        <w:t xml:space="preserve"> architecture was fairly homogenous, for religious buildings, both mosques and churches, were unimposing structures that blended with neighbouring buildings, while the city lacked a prominent seraglio and mosque to focus the city’s traffic.</w:t>
      </w:r>
      <w:r w:rsidRPr="00440B9F">
        <w:rPr>
          <w:rStyle w:val="FootnoteReference"/>
          <w:rFonts w:ascii="Palatino Linotype" w:hAnsi="Palatino Linotype"/>
          <w:sz w:val="22"/>
          <w:szCs w:val="22"/>
          <w:lang w:val="en-GB"/>
        </w:rPr>
        <w:footnoteReference w:id="114"/>
      </w:r>
      <w:r w:rsidRPr="00440B9F">
        <w:rPr>
          <w:rFonts w:ascii="Palatino Linotype" w:hAnsi="Palatino Linotype"/>
          <w:sz w:val="22"/>
          <w:szCs w:val="22"/>
          <w:lang w:val="en-GB"/>
        </w:rPr>
        <w:t xml:space="preserve"> Moreover, residential architecture necessitated informal interaction amongst neighbours, for cooking, toilet and water facilities were located in external spaces, while the inner rooms were reserved for sleeping and storage.</w:t>
      </w:r>
      <w:r w:rsidRPr="00440B9F">
        <w:rPr>
          <w:rStyle w:val="FootnoteReference"/>
          <w:rFonts w:ascii="Palatino Linotype" w:hAnsi="Palatino Linotype"/>
          <w:sz w:val="22"/>
          <w:szCs w:val="22"/>
          <w:lang w:val="en-GB"/>
        </w:rPr>
        <w:footnoteReference w:id="115"/>
      </w:r>
      <w:r w:rsidRPr="00440B9F">
        <w:rPr>
          <w:rFonts w:ascii="Palatino Linotype" w:hAnsi="Palatino Linotype"/>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 Beirut’s social tapestry was primarily confined to the space within the city walls, for before the nineteenth century, few residential buildings were constructed beyond this boundary.</w:t>
      </w:r>
      <w:r w:rsidRPr="00440B9F">
        <w:rPr>
          <w:rStyle w:val="FootnoteReference"/>
          <w:rFonts w:ascii="Palatino Linotype" w:hAnsi="Palatino Linotype"/>
          <w:sz w:val="22"/>
          <w:szCs w:val="22"/>
          <w:lang w:val="en-GB"/>
        </w:rPr>
        <w:footnoteReference w:id="116"/>
      </w:r>
      <w:r w:rsidRPr="00440B9F">
        <w:rPr>
          <w:rFonts w:ascii="Palatino Linotype" w:hAnsi="Palatino Linotype"/>
          <w:sz w:val="22"/>
          <w:szCs w:val="22"/>
          <w:lang w:val="en-GB"/>
        </w:rPr>
        <w:t xml:space="preserve"> Rather, the</w:t>
      </w:r>
      <w:r w:rsidRPr="00440B9F">
        <w:rPr>
          <w:rFonts w:ascii="Palatino Linotype" w:hAnsi="Palatino Linotype"/>
          <w:color w:val="000000"/>
          <w:sz w:val="22"/>
          <w:szCs w:val="22"/>
          <w:lang w:val="en-GB"/>
        </w:rPr>
        <w:t xml:space="preserve"> suburbs were reserved for the harvest of mulberries, olives, figs, carob and other vines, and were only spotted by watchman towers, depots and farmers’ workshops.</w:t>
      </w:r>
      <w:r w:rsidRPr="00440B9F">
        <w:rPr>
          <w:rStyle w:val="FootnoteReference"/>
          <w:rFonts w:ascii="Palatino Linotype" w:hAnsi="Palatino Linotype"/>
          <w:color w:val="000000"/>
          <w:sz w:val="22"/>
          <w:szCs w:val="22"/>
          <w:lang w:val="en-GB"/>
        </w:rPr>
        <w:footnoteReference w:id="117"/>
      </w:r>
      <w:r w:rsidRPr="00440B9F">
        <w:rPr>
          <w:rFonts w:ascii="Palatino Linotype" w:hAnsi="Palatino Linotype"/>
          <w:color w:val="000000"/>
          <w:sz w:val="22"/>
          <w:szCs w:val="22"/>
          <w:lang w:val="en-GB"/>
        </w:rPr>
        <w:t xml:space="preserve"> The sparseness of suburban development may be explained by the difficulty in proving private ownership of suburban plots as </w:t>
      </w:r>
      <w:r w:rsidRPr="00440B9F">
        <w:rPr>
          <w:rFonts w:ascii="Palatino Linotype" w:hAnsi="Palatino Linotype"/>
          <w:i/>
          <w:color w:val="000000"/>
          <w:sz w:val="22"/>
          <w:szCs w:val="22"/>
          <w:lang w:val="en-GB"/>
        </w:rPr>
        <w:t>milk</w:t>
      </w:r>
      <w:r w:rsidRPr="00440B9F">
        <w:rPr>
          <w:rFonts w:ascii="Palatino Linotype" w:hAnsi="Palatino Linotype"/>
          <w:color w:val="000000"/>
          <w:sz w:val="22"/>
          <w:szCs w:val="22"/>
          <w:lang w:val="en-GB"/>
        </w:rPr>
        <w:t xml:space="preserve"> land rather than state-owned (</w:t>
      </w:r>
      <w:r w:rsidRPr="00440B9F">
        <w:rPr>
          <w:rFonts w:ascii="Palatino Linotype" w:hAnsi="Palatino Linotype"/>
          <w:i/>
          <w:color w:val="000000"/>
          <w:sz w:val="22"/>
          <w:szCs w:val="22"/>
          <w:lang w:val="en-GB"/>
        </w:rPr>
        <w:t>miri</w:t>
      </w:r>
      <w:r w:rsidRPr="00440B9F">
        <w:rPr>
          <w:rFonts w:ascii="Palatino Linotype" w:hAnsi="Palatino Linotype"/>
          <w:color w:val="000000"/>
          <w:sz w:val="22"/>
          <w:szCs w:val="22"/>
          <w:lang w:val="en-GB"/>
        </w:rPr>
        <w:t>) property; the latter being liable to confiscation at whim.</w:t>
      </w:r>
      <w:r w:rsidRPr="00440B9F">
        <w:rPr>
          <w:rStyle w:val="FootnoteReference"/>
          <w:rFonts w:ascii="Palatino Linotype" w:hAnsi="Palatino Linotype"/>
          <w:color w:val="000000"/>
          <w:sz w:val="22"/>
          <w:szCs w:val="22"/>
          <w:lang w:val="en-GB"/>
        </w:rPr>
        <w:footnoteReference w:id="118"/>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This began to change during the second quarter of the nineteenth century, when Beirut emerged as the focus of regional power. Beirut served as the base for Muhammed Ali’s government during the Egyptian occupation of Syria. This choice was significant for Beirut replaced Acre and Damascus as the site of provincial authority.</w:t>
      </w:r>
      <w:r w:rsidRPr="00440B9F">
        <w:rPr>
          <w:rStyle w:val="FootnoteReference"/>
          <w:rFonts w:ascii="Palatino Linotype" w:hAnsi="Palatino Linotype"/>
          <w:color w:val="000000"/>
          <w:sz w:val="22"/>
          <w:szCs w:val="22"/>
          <w:lang w:val="en-GB"/>
        </w:rPr>
        <w:footnoteReference w:id="119"/>
      </w:r>
      <w:r w:rsidRPr="00440B9F">
        <w:rPr>
          <w:rFonts w:ascii="Palatino Linotype" w:hAnsi="Palatino Linotype"/>
          <w:color w:val="000000"/>
          <w:sz w:val="22"/>
          <w:szCs w:val="22"/>
          <w:lang w:val="en-GB"/>
        </w:rPr>
        <w:t xml:space="preserve"> Consistent with other aspects of his rule, Muhammed Ali systematised the government within Beirut. A consultation council, the </w:t>
      </w:r>
      <w:r w:rsidRPr="00440B9F">
        <w:rPr>
          <w:rFonts w:ascii="Palatino Linotype" w:hAnsi="Palatino Linotype"/>
          <w:bCs/>
          <w:i/>
          <w:color w:val="000000"/>
          <w:sz w:val="22"/>
          <w:szCs w:val="22"/>
          <w:lang w:val="en-GB"/>
        </w:rPr>
        <w:t>diwān al-mushawarah</w:t>
      </w:r>
      <w:r w:rsidRPr="00440B9F">
        <w:rPr>
          <w:rFonts w:ascii="Palatino Linotype" w:hAnsi="Palatino Linotype"/>
          <w:color w:val="000000"/>
          <w:sz w:val="22"/>
          <w:szCs w:val="22"/>
          <w:lang w:val="en-GB"/>
        </w:rPr>
        <w:t>, was formed, which brought together Beirut’s community leaders and it divided the governance of the city into eight districts.</w:t>
      </w:r>
      <w:r w:rsidRPr="00440B9F">
        <w:rPr>
          <w:rStyle w:val="FootnoteReference"/>
          <w:rFonts w:ascii="Palatino Linotype" w:hAnsi="Palatino Linotype"/>
          <w:color w:val="000000"/>
          <w:sz w:val="22"/>
          <w:szCs w:val="22"/>
          <w:lang w:val="en-GB"/>
        </w:rPr>
        <w:footnoteReference w:id="120"/>
      </w:r>
      <w:r w:rsidRPr="00440B9F">
        <w:rPr>
          <w:rFonts w:ascii="Palatino Linotype" w:hAnsi="Palatino Linotype"/>
          <w:color w:val="000000"/>
          <w:sz w:val="22"/>
          <w:szCs w:val="22"/>
          <w:lang w:val="en-GB"/>
        </w:rPr>
        <w:t xml:space="preserve"> Efforts were also made to improve the port, both in the water and at the quarantine and customs houses along the waterfront. Although these improvements were slow to materialise, they nevertheless encouraged the movement of goods, people and communication between Beirut and Egypt, and encouraged the development of a new middle class of merchants, translators and bureaucrats, many of whom relocated to this city.</w:t>
      </w:r>
      <w:r w:rsidRPr="00440B9F">
        <w:rPr>
          <w:rStyle w:val="FootnoteReference"/>
          <w:rFonts w:ascii="Palatino Linotype" w:hAnsi="Palatino Linotype"/>
          <w:color w:val="000000"/>
          <w:sz w:val="22"/>
          <w:szCs w:val="22"/>
          <w:lang w:val="en-GB"/>
        </w:rPr>
        <w:footnoteReference w:id="121"/>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ab/>
      </w:r>
      <w:r w:rsidRPr="00440B9F">
        <w:rPr>
          <w:rFonts w:ascii="Palatino Linotype" w:hAnsi="Palatino Linotype"/>
          <w:sz w:val="22"/>
          <w:szCs w:val="22"/>
          <w:lang w:val="en-GB"/>
        </w:rPr>
        <w:t xml:space="preserve">Beirut also played an important role in the Porte’s recovery/reconfiguration of Syria. </w:t>
      </w:r>
      <w:r w:rsidRPr="00440B9F">
        <w:rPr>
          <w:rFonts w:ascii="Palatino Linotype" w:hAnsi="Palatino Linotype"/>
          <w:color w:val="000000"/>
          <w:sz w:val="22"/>
          <w:szCs w:val="22"/>
          <w:lang w:val="en-GB"/>
        </w:rPr>
        <w:t>Following Muhammed Ali initiative, t</w:t>
      </w:r>
      <w:r w:rsidRPr="00440B9F">
        <w:rPr>
          <w:rFonts w:ascii="Palatino Linotype" w:hAnsi="Palatino Linotype"/>
          <w:sz w:val="22"/>
          <w:szCs w:val="22"/>
          <w:lang w:val="en-GB"/>
        </w:rPr>
        <w:t>he capital of the Sidon province was moved from Acre to Beirut, as noted above.</w:t>
      </w:r>
      <w:r w:rsidRPr="00440B9F">
        <w:rPr>
          <w:rStyle w:val="FootnoteReference"/>
          <w:rFonts w:ascii="Palatino Linotype" w:hAnsi="Palatino Linotype"/>
          <w:sz w:val="22"/>
          <w:szCs w:val="22"/>
          <w:lang w:val="en-GB"/>
        </w:rPr>
        <w:footnoteReference w:id="122"/>
      </w:r>
      <w:r w:rsidRPr="00440B9F">
        <w:rPr>
          <w:rFonts w:ascii="Palatino Linotype" w:hAnsi="Palatino Linotype"/>
          <w:sz w:val="22"/>
          <w:szCs w:val="22"/>
          <w:lang w:val="en-GB"/>
        </w:rPr>
        <w:t xml:space="preserve"> In 1843, the plans for the double </w:t>
      </w:r>
      <w:r w:rsidRPr="00440B9F">
        <w:rPr>
          <w:rFonts w:ascii="Palatino Linotype" w:hAnsi="Palatino Linotype"/>
          <w:i/>
          <w:sz w:val="22"/>
          <w:szCs w:val="22"/>
          <w:lang w:val="en-GB"/>
        </w:rPr>
        <w:t xml:space="preserve">Qa‛im maqāmat </w:t>
      </w:r>
      <w:r w:rsidRPr="00440B9F">
        <w:rPr>
          <w:rFonts w:ascii="Palatino Linotype" w:hAnsi="Palatino Linotype"/>
          <w:sz w:val="22"/>
          <w:szCs w:val="22"/>
          <w:lang w:val="en-GB"/>
        </w:rPr>
        <w:t xml:space="preserve">were announced in Beirut, with the supervision of this structure being held by the </w:t>
      </w:r>
      <w:r w:rsidRPr="00440B9F">
        <w:rPr>
          <w:rFonts w:ascii="Palatino Linotype" w:hAnsi="Palatino Linotype"/>
          <w:i/>
          <w:sz w:val="22"/>
          <w:szCs w:val="22"/>
          <w:lang w:val="en-GB"/>
        </w:rPr>
        <w:t xml:space="preserve">wālī </w:t>
      </w:r>
      <w:r w:rsidRPr="00440B9F">
        <w:rPr>
          <w:rFonts w:ascii="Palatino Linotype" w:hAnsi="Palatino Linotype"/>
          <w:sz w:val="22"/>
          <w:szCs w:val="22"/>
          <w:lang w:val="en-GB"/>
        </w:rPr>
        <w:t>of Sidon who resided in Beirut.</w:t>
      </w:r>
      <w:r w:rsidRPr="00440B9F">
        <w:rPr>
          <w:rStyle w:val="FootnoteReference"/>
          <w:rFonts w:ascii="Palatino Linotype" w:hAnsi="Palatino Linotype"/>
          <w:sz w:val="22"/>
          <w:szCs w:val="22"/>
          <w:lang w:val="en-GB"/>
        </w:rPr>
        <w:footnoteReference w:id="123"/>
      </w:r>
      <w:r w:rsidRPr="00440B9F">
        <w:rPr>
          <w:rFonts w:ascii="Palatino Linotype" w:hAnsi="Palatino Linotype"/>
          <w:sz w:val="22"/>
          <w:szCs w:val="22"/>
          <w:lang w:val="en-GB"/>
        </w:rPr>
        <w:t xml:space="preserve"> The Porte emphasised his return through imperial projects, such as the building of new military barracks. Although finished after 1860, these barracks ‘annonçait le début d’une métamorphose urbanistique’ and exhibited a new, Ottoman imperial architectural design, which was a trend that continued throughout the late nineteenth century.</w:t>
      </w:r>
      <w:r w:rsidRPr="00440B9F">
        <w:rPr>
          <w:rStyle w:val="FootnoteReference"/>
          <w:rFonts w:ascii="Palatino Linotype" w:hAnsi="Palatino Linotype"/>
          <w:sz w:val="22"/>
          <w:szCs w:val="22"/>
          <w:lang w:val="en-GB"/>
        </w:rPr>
        <w:footnoteReference w:id="124"/>
      </w:r>
      <w:r w:rsidRPr="00440B9F">
        <w:rPr>
          <w:rFonts w:ascii="Palatino Linotype" w:hAnsi="Palatino Linotype"/>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ab/>
        <w:t>A wave of immigration added another element of vitality to the evolving city. With the improvement of steamship technology and the growing desire for empire, the number of European and American merchants, military officers and missionaries who resided at this location increased during the 1840s and 1850s.</w:t>
      </w:r>
      <w:r w:rsidRPr="00440B9F">
        <w:rPr>
          <w:rStyle w:val="FootnoteReference"/>
          <w:rFonts w:ascii="Palatino Linotype" w:hAnsi="Palatino Linotype"/>
          <w:color w:val="000000"/>
          <w:sz w:val="22"/>
          <w:szCs w:val="22"/>
          <w:lang w:val="en-GB"/>
        </w:rPr>
        <w:footnoteReference w:id="125"/>
      </w:r>
      <w:r w:rsidRPr="00440B9F">
        <w:rPr>
          <w:rFonts w:ascii="Palatino Linotype" w:hAnsi="Palatino Linotype"/>
          <w:color w:val="000000"/>
          <w:sz w:val="22"/>
          <w:szCs w:val="22"/>
          <w:lang w:val="en-GB"/>
        </w:rPr>
        <w:t xml:space="preserve"> By 1856, both Austrian and French postal ships made regular stops at Beirut. This connected the residents of Beirut to locations around the Mediterranean (and points further west), for it eased the movement of goods, information and humans, which was vital in maintaining and monitoring imperial interests.</w:t>
      </w:r>
      <w:r w:rsidRPr="00440B9F">
        <w:rPr>
          <w:rStyle w:val="FootnoteReference"/>
          <w:rFonts w:ascii="Palatino Linotype" w:hAnsi="Palatino Linotype"/>
          <w:color w:val="000000"/>
          <w:sz w:val="22"/>
          <w:szCs w:val="22"/>
          <w:lang w:val="en-GB"/>
        </w:rPr>
        <w:footnoteReference w:id="126"/>
      </w:r>
      <w:r w:rsidRPr="00440B9F">
        <w:rPr>
          <w:rFonts w:ascii="Palatino Linotype" w:hAnsi="Palatino Linotype"/>
          <w:color w:val="000000"/>
          <w:sz w:val="22"/>
          <w:szCs w:val="22"/>
          <w:lang w:val="en-GB"/>
        </w:rPr>
        <w:t xml:space="preserve"> In addition, many European and American travellers argued that Beirut was the best place to commence a tour of the region, many of whom found ‘comfortable’ respite at the various hotels that opened near the port</w:t>
      </w:r>
      <w:r w:rsidRPr="00440B9F">
        <w:rPr>
          <w:rFonts w:ascii="Palatino Linotype" w:hAnsi="Palatino Linotype"/>
          <w:sz w:val="22"/>
          <w:szCs w:val="22"/>
          <w:lang w:val="en-GB"/>
        </w:rPr>
        <w:t>.</w:t>
      </w:r>
      <w:r w:rsidRPr="00440B9F">
        <w:rPr>
          <w:rStyle w:val="FootnoteReference"/>
          <w:rFonts w:ascii="Palatino Linotype" w:hAnsi="Palatino Linotype"/>
          <w:sz w:val="22"/>
          <w:szCs w:val="22"/>
          <w:lang w:val="en-GB"/>
        </w:rPr>
        <w:footnoteReference w:id="127"/>
      </w:r>
      <w:r w:rsidRPr="00440B9F">
        <w:rPr>
          <w:rFonts w:ascii="Palatino Linotype" w:hAnsi="Palatino Linotype"/>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 xml:space="preserve">The expansion of trade links between Beirut and Europe was particularly evident during this period. Both French and Syrian merchants invested in the silk trade and encouraged the immigration of </w:t>
      </w:r>
      <w:r w:rsidRPr="00440B9F">
        <w:rPr>
          <w:rFonts w:ascii="Palatino Linotype" w:hAnsi="Palatino Linotype"/>
          <w:sz w:val="22"/>
          <w:szCs w:val="22"/>
          <w:lang w:val="en-GB"/>
        </w:rPr>
        <w:t>French merchants to commission silk</w:t>
      </w:r>
      <w:r w:rsidRPr="00440B9F">
        <w:rPr>
          <w:rFonts w:ascii="Palatino Linotype" w:hAnsi="Palatino Linotype"/>
          <w:color w:val="000000"/>
          <w:sz w:val="22"/>
          <w:szCs w:val="22"/>
          <w:lang w:val="en-GB"/>
        </w:rPr>
        <w:t xml:space="preserve"> factories near Beirut.</w:t>
      </w:r>
      <w:r w:rsidRPr="00440B9F">
        <w:rPr>
          <w:rStyle w:val="FootnoteReference"/>
          <w:rFonts w:ascii="Palatino Linotype" w:hAnsi="Palatino Linotype"/>
          <w:color w:val="000000"/>
          <w:sz w:val="22"/>
          <w:szCs w:val="22"/>
          <w:lang w:val="en-GB"/>
        </w:rPr>
        <w:footnoteReference w:id="128"/>
      </w:r>
      <w:r w:rsidRPr="00440B9F">
        <w:rPr>
          <w:rFonts w:ascii="Palatino Linotype" w:hAnsi="Palatino Linotype"/>
          <w:color w:val="000000"/>
          <w:sz w:val="22"/>
          <w:szCs w:val="22"/>
          <w:lang w:val="en-GB"/>
        </w:rPr>
        <w:t xml:space="preserve"> Other goods such as ‘Syrian olive oil, timber, nuts and specimens of dried and preserved fruit’ were produced specifically for export to Europe, including Great Britain.</w:t>
      </w:r>
      <w:r w:rsidRPr="00440B9F">
        <w:rPr>
          <w:rStyle w:val="FootnoteReference"/>
          <w:rFonts w:ascii="Palatino Linotype" w:hAnsi="Palatino Linotype"/>
          <w:color w:val="000000"/>
          <w:sz w:val="22"/>
          <w:szCs w:val="22"/>
          <w:lang w:val="en-GB"/>
        </w:rPr>
        <w:footnoteReference w:id="129"/>
      </w:r>
      <w:r w:rsidRPr="00440B9F">
        <w:rPr>
          <w:rFonts w:ascii="Palatino Linotype" w:hAnsi="Palatino Linotype"/>
          <w:color w:val="000000"/>
          <w:sz w:val="22"/>
          <w:szCs w:val="22"/>
          <w:lang w:val="en-GB"/>
        </w:rPr>
        <w:t xml:space="preserve"> A group of merchants specialised in this Anglo-Beiruti trade, some of who are listed in Appendix III:A, for they were</w:t>
      </w:r>
      <w:r w:rsidRPr="00440B9F">
        <w:rPr>
          <w:rFonts w:ascii="Palatino Linotype" w:hAnsi="Palatino Linotype"/>
          <w:sz w:val="22"/>
          <w:szCs w:val="22"/>
          <w:lang w:val="en-GB"/>
        </w:rPr>
        <w:t xml:space="preserve"> affiliated with the Protestant Circle, although not all were members of the Protestant Church.</w:t>
      </w:r>
      <w:r w:rsidRPr="00440B9F">
        <w:rPr>
          <w:rStyle w:val="FootnoteReference"/>
          <w:rFonts w:ascii="Palatino Linotype" w:hAnsi="Palatino Linotype"/>
          <w:sz w:val="22"/>
          <w:szCs w:val="22"/>
          <w:lang w:val="en-GB"/>
        </w:rPr>
        <w:footnoteReference w:id="130"/>
      </w:r>
      <w:r w:rsidRPr="00440B9F">
        <w:rPr>
          <w:rFonts w:ascii="Palatino Linotype" w:hAnsi="Palatino Linotype"/>
          <w:color w:val="000000"/>
          <w:sz w:val="22"/>
          <w:szCs w:val="22"/>
          <w:lang w:val="en-GB"/>
        </w:rPr>
        <w:t xml:space="preserve"> </w:t>
      </w:r>
      <w:r w:rsidRPr="00440B9F">
        <w:rPr>
          <w:rFonts w:ascii="Palatino Linotype" w:hAnsi="Palatino Linotype"/>
          <w:sz w:val="22"/>
          <w:szCs w:val="22"/>
          <w:lang w:val="en-GB"/>
        </w:rPr>
        <w:t>N</w:t>
      </w:r>
      <w:r w:rsidRPr="00440B9F">
        <w:rPr>
          <w:rFonts w:ascii="Palatino Linotype" w:hAnsi="Palatino Linotype"/>
          <w:color w:val="000000"/>
          <w:sz w:val="22"/>
          <w:szCs w:val="22"/>
          <w:lang w:val="en-GB"/>
        </w:rPr>
        <w:t>ew European consulates were established or relocated to Beirut during the 1840s and 1850s in order to protect these economic interests. While the consuls provided political and economic protection for their own citizens, many Syrians benefited from receiving protégé status as employees of foreign agents, and fell under the diplomatic jurisdiction of these new consults.</w:t>
      </w:r>
      <w:r w:rsidRPr="00440B9F">
        <w:rPr>
          <w:rStyle w:val="FootnoteReference"/>
          <w:rFonts w:ascii="Palatino Linotype" w:hAnsi="Palatino Linotype"/>
          <w:color w:val="000000"/>
          <w:sz w:val="22"/>
          <w:szCs w:val="22"/>
          <w:lang w:val="en-GB"/>
        </w:rPr>
        <w:footnoteReference w:id="131"/>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sz w:val="22"/>
          <w:szCs w:val="22"/>
          <w:lang w:val="en-GB"/>
        </w:rPr>
        <w:tab/>
        <w:t xml:space="preserve">In addition to the interests and investments of foreigners, including Egyptians, Ottomans and Europeans, </w:t>
      </w:r>
      <w:r w:rsidRPr="00440B9F">
        <w:rPr>
          <w:rFonts w:ascii="Palatino Linotype" w:hAnsi="Palatino Linotype"/>
          <w:color w:val="000000"/>
          <w:sz w:val="22"/>
          <w:szCs w:val="22"/>
          <w:lang w:val="en-GB"/>
        </w:rPr>
        <w:t>Beirut was transformed by the activities of Syrians. Beirut was increasingly regarded by Syrians as an important link between the Mediterranean, Mount Lebanon and cities further inland. For example, goods arriving into Beirut were transported by Syrian traders to Mount Lebanon and Damascus, then along the pilgrimage and trade routes further east into Persia and Asia.</w:t>
      </w:r>
      <w:r w:rsidRPr="00440B9F">
        <w:rPr>
          <w:rFonts w:ascii="Palatino Linotype" w:hAnsi="Palatino Linotype"/>
          <w:color w:val="000000"/>
          <w:sz w:val="22"/>
          <w:szCs w:val="22"/>
          <w:vertAlign w:val="superscript"/>
          <w:lang w:val="en-GB"/>
        </w:rPr>
        <w:footnoteReference w:id="132"/>
      </w:r>
      <w:r w:rsidRPr="00440B9F">
        <w:rPr>
          <w:rFonts w:ascii="Palatino Linotype" w:hAnsi="Palatino Linotype"/>
          <w:color w:val="000000"/>
          <w:sz w:val="22"/>
          <w:szCs w:val="22"/>
          <w:lang w:val="en-GB"/>
        </w:rPr>
        <w:t xml:space="preserve"> Some merchants resettled in Beirut and formed the backbone of the new middle class.</w:t>
      </w:r>
      <w:r w:rsidRPr="00440B9F">
        <w:rPr>
          <w:rStyle w:val="FootnoteReference"/>
          <w:rFonts w:ascii="Palatino Linotype" w:hAnsi="Palatino Linotype"/>
          <w:color w:val="000000"/>
          <w:sz w:val="22"/>
          <w:szCs w:val="22"/>
          <w:lang w:val="en-GB"/>
        </w:rPr>
        <w:footnoteReference w:id="133"/>
      </w:r>
      <w:r w:rsidRPr="00440B9F">
        <w:rPr>
          <w:rFonts w:ascii="Palatino Linotype" w:hAnsi="Palatino Linotype"/>
          <w:color w:val="000000"/>
          <w:sz w:val="22"/>
          <w:szCs w:val="22"/>
          <w:lang w:val="en-GB"/>
        </w:rPr>
        <w:t xml:space="preserve"> Educational opportunities drew many towards Beirut, particularly those seeking apprenticeships with tradesmen, language skills from merchants and the ‘liberal arts’ education offered by missionaries.</w:t>
      </w:r>
      <w:r w:rsidRPr="00440B9F">
        <w:rPr>
          <w:rStyle w:val="FootnoteReference"/>
          <w:rFonts w:ascii="Palatino Linotype" w:hAnsi="Palatino Linotype"/>
          <w:color w:val="000000"/>
          <w:sz w:val="22"/>
          <w:szCs w:val="22"/>
          <w:lang w:val="en-GB"/>
        </w:rPr>
        <w:footnoteReference w:id="134"/>
      </w:r>
      <w:r w:rsidRPr="00440B9F">
        <w:rPr>
          <w:rFonts w:ascii="Palatino Linotype" w:hAnsi="Palatino Linotype"/>
          <w:color w:val="000000"/>
          <w:sz w:val="22"/>
          <w:szCs w:val="22"/>
          <w:lang w:val="en-GB"/>
        </w:rPr>
        <w:t xml:space="preserve"> These ‘pulls’ towards reached beyond Mount Lebanon, for residents of Sidon, Aleppo and Damascus also relocated to Beirut.</w:t>
      </w:r>
      <w:r w:rsidRPr="00440B9F">
        <w:rPr>
          <w:rStyle w:val="FootnoteReference"/>
          <w:rFonts w:ascii="Palatino Linotype" w:hAnsi="Palatino Linotype"/>
          <w:color w:val="000000"/>
          <w:sz w:val="22"/>
          <w:szCs w:val="22"/>
          <w:lang w:val="en-GB"/>
        </w:rPr>
        <w:footnoteReference w:id="135"/>
      </w:r>
      <w:r w:rsidRPr="00440B9F">
        <w:rPr>
          <w:rFonts w:ascii="Palatino Linotype" w:hAnsi="Palatino Linotype"/>
          <w:color w:val="000000"/>
          <w:sz w:val="22"/>
          <w:szCs w:val="22"/>
          <w:lang w:val="en-GB"/>
        </w:rPr>
        <w:t xml:space="preserve"> One ‘push’ towards Beirut for residents of Mount Lebanon was war, so that refugees flooded the city at various times during 1840s and 1850s.</w:t>
      </w:r>
      <w:r w:rsidRPr="00440B9F">
        <w:rPr>
          <w:rStyle w:val="FootnoteReference"/>
          <w:rFonts w:ascii="Palatino Linotype" w:hAnsi="Palatino Linotype"/>
          <w:color w:val="000000"/>
          <w:sz w:val="22"/>
          <w:szCs w:val="22"/>
          <w:lang w:val="en-GB"/>
        </w:rPr>
        <w:footnoteReference w:id="136"/>
      </w:r>
      <w:r w:rsidRPr="00440B9F">
        <w:rPr>
          <w:rFonts w:ascii="Palatino Linotype" w:hAnsi="Palatino Linotype"/>
          <w:color w:val="000000"/>
          <w:sz w:val="22"/>
          <w:szCs w:val="22"/>
          <w:lang w:val="en-GB"/>
        </w:rPr>
        <w:t xml:space="preserve"> Until 1860 however, many of the regional immigrants regarded their stay in Beirut as temporary and returned home once they received their education or after the dispute had calmed.</w:t>
      </w:r>
      <w:r w:rsidRPr="00440B9F">
        <w:rPr>
          <w:rStyle w:val="FootnoteReference"/>
          <w:rFonts w:ascii="Palatino Linotype" w:hAnsi="Palatino Linotype"/>
          <w:color w:val="000000"/>
          <w:sz w:val="22"/>
          <w:szCs w:val="22"/>
          <w:lang w:val="en-GB"/>
        </w:rPr>
        <w:footnoteReference w:id="137"/>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color w:val="000000"/>
          <w:sz w:val="22"/>
          <w:szCs w:val="22"/>
          <w:lang w:val="en-GB"/>
        </w:rPr>
        <w:tab/>
        <w:t>This foreign and local immigration affected the layout of the city. Although Fawaz argues that by 1830 half of Beirut’s population resided outside the city walls, maps of Beirut produced between 1838 and 1841 illustrate only a scattering of houses in the suburbs.</w:t>
      </w:r>
      <w:r w:rsidRPr="00440B9F">
        <w:rPr>
          <w:rStyle w:val="FootnoteReference"/>
          <w:rFonts w:ascii="Palatino Linotype" w:hAnsi="Palatino Linotype"/>
          <w:color w:val="000000"/>
          <w:sz w:val="22"/>
          <w:szCs w:val="22"/>
          <w:lang w:val="en-GB"/>
        </w:rPr>
        <w:footnoteReference w:id="138"/>
      </w:r>
      <w:r w:rsidRPr="00440B9F">
        <w:rPr>
          <w:rFonts w:ascii="Palatino Linotype" w:hAnsi="Palatino Linotype"/>
          <w:color w:val="000000"/>
          <w:sz w:val="22"/>
          <w:szCs w:val="22"/>
          <w:lang w:val="en-GB"/>
        </w:rPr>
        <w:t xml:space="preserve"> It was during the 1840s and 1850s rather, that Beirut’s city limits were clearly breached, for the aforementioned wave of immigration instigated a boom in construction.</w:t>
      </w:r>
      <w:r w:rsidRPr="00440B9F">
        <w:rPr>
          <w:rStyle w:val="FootnoteReference"/>
          <w:rFonts w:ascii="Palatino Linotype" w:hAnsi="Palatino Linotype"/>
          <w:color w:val="000000"/>
          <w:sz w:val="22"/>
          <w:szCs w:val="22"/>
          <w:lang w:val="en-GB"/>
        </w:rPr>
        <w:footnoteReference w:id="139"/>
      </w:r>
      <w:r w:rsidRPr="00440B9F">
        <w:rPr>
          <w:rFonts w:ascii="Palatino Linotype" w:hAnsi="Palatino Linotype"/>
          <w:color w:val="000000"/>
          <w:sz w:val="22"/>
          <w:szCs w:val="22"/>
          <w:lang w:val="en-GB"/>
        </w:rPr>
        <w:t xml:space="preserve"> Although some of the temporary residents found homes within the city centre, many of the new permanent residents and relocated Beirutis developed new neighbourhoods in the suburbs of Al-Achrafiya, Mazraa, al-Basta and Moussaitbe. This created an ‘amphitheatrical form’ around the old city and port.</w:t>
      </w:r>
      <w:r w:rsidRPr="00440B9F">
        <w:rPr>
          <w:rFonts w:ascii="Palatino Linotype" w:hAnsi="Palatino Linotype"/>
          <w:color w:val="000000"/>
          <w:sz w:val="22"/>
          <w:szCs w:val="22"/>
          <w:vertAlign w:val="superscript"/>
          <w:lang w:val="en-GB"/>
        </w:rPr>
        <w:footnoteReference w:id="140"/>
      </w:r>
      <w:r w:rsidRPr="00440B9F">
        <w:rPr>
          <w:rFonts w:ascii="Palatino Linotype" w:hAnsi="Palatino Linotype"/>
          <w:color w:val="000000"/>
          <w:sz w:val="22"/>
          <w:szCs w:val="22"/>
          <w:lang w:val="en-GB"/>
        </w:rPr>
        <w:t xml:space="preserve"> Hotels, foreign consulates and the residencies of wealthy European and Syrian merchants were frequently built on the coast or near Ras Beirut, while the schools and homes of the new middle class were often found in </w:t>
      </w:r>
      <w:r w:rsidRPr="00440B9F">
        <w:rPr>
          <w:rFonts w:ascii="Palatino Linotype" w:hAnsi="Palatino Linotype" w:cs="Arial"/>
          <w:bCs/>
          <w:sz w:val="22"/>
          <w:szCs w:val="22"/>
          <w:lang w:val="en-GB"/>
        </w:rPr>
        <w:t>Zoqāq el-Blā</w:t>
      </w:r>
      <w:r w:rsidRPr="00440B9F">
        <w:rPr>
          <w:rFonts w:ascii="KoufrUni" w:hAnsi="KoufrUni" w:cs="Arial"/>
          <w:sz w:val="22"/>
          <w:szCs w:val="22"/>
          <w:lang w:val="en-GB"/>
        </w:rPr>
        <w:t>ṭ</w:t>
      </w:r>
      <w:r w:rsidRPr="00440B9F">
        <w:rPr>
          <w:rFonts w:ascii="Palatino Linotype" w:hAnsi="Palatino Linotype"/>
          <w:color w:val="000000"/>
          <w:sz w:val="22"/>
          <w:szCs w:val="22"/>
          <w:lang w:val="en-GB"/>
        </w:rPr>
        <w:t>.</w:t>
      </w:r>
      <w:r w:rsidRPr="00440B9F">
        <w:rPr>
          <w:rStyle w:val="FootnoteReference"/>
          <w:rFonts w:ascii="Palatino Linotype" w:hAnsi="Palatino Linotype"/>
          <w:color w:val="000000"/>
          <w:sz w:val="22"/>
          <w:szCs w:val="22"/>
          <w:lang w:val="en-GB"/>
        </w:rPr>
        <w:footnoteReference w:id="141"/>
      </w:r>
      <w:r w:rsidRPr="00440B9F">
        <w:rPr>
          <w:rFonts w:ascii="Palatino Linotype" w:hAnsi="Palatino Linotype"/>
          <w:color w:val="000000"/>
          <w:sz w:val="22"/>
          <w:szCs w:val="22"/>
          <w:lang w:val="en-GB"/>
        </w:rPr>
        <w:t xml:space="preserve"> Even the Ottomans followed this suburban trend, for although the new ‘palace’ was built next to the city jail within the city walls, the </w:t>
      </w:r>
      <w:r w:rsidRPr="00440B9F">
        <w:rPr>
          <w:rFonts w:ascii="Palatino Linotype" w:hAnsi="Palatino Linotype"/>
          <w:i/>
          <w:color w:val="000000"/>
          <w:sz w:val="22"/>
          <w:szCs w:val="22"/>
          <w:lang w:val="en-GB"/>
        </w:rPr>
        <w:t>wālī</w:t>
      </w:r>
      <w:r w:rsidRPr="00440B9F">
        <w:rPr>
          <w:rFonts w:ascii="Palatino Linotype" w:hAnsi="Palatino Linotype"/>
          <w:color w:val="000000"/>
          <w:sz w:val="22"/>
          <w:szCs w:val="22"/>
          <w:lang w:val="en-GB"/>
        </w:rPr>
        <w:t>’s residency during the 1850s was located in the suburbs.</w:t>
      </w:r>
      <w:r w:rsidRPr="00440B9F">
        <w:rPr>
          <w:rFonts w:ascii="Palatino Linotype" w:hAnsi="Palatino Linotype"/>
          <w:color w:val="000000"/>
          <w:sz w:val="22"/>
          <w:szCs w:val="22"/>
          <w:vertAlign w:val="superscript"/>
          <w:lang w:val="en-GB"/>
        </w:rPr>
        <w:footnoteReference w:id="142"/>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color w:val="000000"/>
          <w:sz w:val="22"/>
          <w:szCs w:val="22"/>
          <w:lang w:val="en-GB"/>
        </w:rPr>
        <w:tab/>
        <w:t xml:space="preserve">At the turn-of-the-nineteenth century, most houses in Beirut were made of locally quarried stone and followed a modified </w:t>
      </w:r>
      <w:r w:rsidRPr="00440B9F">
        <w:rPr>
          <w:rFonts w:ascii="Palatino Linotype" w:hAnsi="Palatino Linotype"/>
          <w:bCs/>
          <w:i/>
          <w:color w:val="000000"/>
          <w:sz w:val="22"/>
          <w:szCs w:val="22"/>
          <w:lang w:val="en-GB"/>
        </w:rPr>
        <w:t>līwān</w:t>
      </w:r>
      <w:r w:rsidRPr="00440B9F">
        <w:rPr>
          <w:rFonts w:ascii="Palatino Linotype" w:hAnsi="Palatino Linotype"/>
          <w:color w:val="000000"/>
          <w:sz w:val="22"/>
          <w:szCs w:val="22"/>
          <w:lang w:val="en-GB"/>
        </w:rPr>
        <w:t xml:space="preserve"> design.</w:t>
      </w:r>
      <w:r w:rsidRPr="00440B9F">
        <w:rPr>
          <w:rFonts w:ascii="Palatino Linotype" w:hAnsi="Palatino Linotype"/>
          <w:color w:val="000000"/>
          <w:sz w:val="22"/>
          <w:szCs w:val="22"/>
          <w:vertAlign w:val="superscript"/>
          <w:lang w:val="en-GB"/>
        </w:rPr>
        <w:footnoteReference w:id="143"/>
      </w:r>
      <w:r w:rsidRPr="00440B9F">
        <w:rPr>
          <w:rFonts w:ascii="Palatino Linotype" w:hAnsi="Palatino Linotype"/>
          <w:color w:val="000000"/>
          <w:sz w:val="22"/>
          <w:szCs w:val="22"/>
          <w:lang w:val="en-GB"/>
        </w:rPr>
        <w:t xml:space="preserve"> These were two and three stories houses with south-facing gardens on the ground floor and terraces on the upper floors, which were surrounded by the family’s living spaces. This gave the building an internal ‘L’ or ‘U’ shape and allowed the building to appear externally similar to its neighbours.</w:t>
      </w:r>
      <w:r w:rsidRPr="00440B9F">
        <w:rPr>
          <w:rStyle w:val="FootnoteReference"/>
          <w:rFonts w:ascii="Palatino Linotype" w:hAnsi="Palatino Linotype"/>
          <w:color w:val="000000"/>
          <w:sz w:val="22"/>
          <w:szCs w:val="22"/>
          <w:lang w:val="en-GB"/>
        </w:rPr>
        <w:footnoteReference w:id="144"/>
      </w:r>
      <w:r w:rsidRPr="00440B9F">
        <w:rPr>
          <w:rFonts w:ascii="Palatino Linotype" w:hAnsi="Palatino Linotype"/>
          <w:color w:val="000000"/>
          <w:sz w:val="22"/>
          <w:szCs w:val="22"/>
          <w:lang w:val="en-GB"/>
        </w:rPr>
        <w:t xml:space="preserve"> Davie proposes that </w:t>
      </w:r>
      <w:r w:rsidRPr="00440B9F">
        <w:rPr>
          <w:rFonts w:ascii="JaghbUni" w:hAnsi="JaghbUni" w:cs="Arial"/>
          <w:bCs/>
          <w:i/>
          <w:sz w:val="22"/>
          <w:szCs w:val="22"/>
          <w:lang w:val="en-GB"/>
        </w:rPr>
        <w:t>ḥ</w:t>
      </w:r>
      <w:r w:rsidRPr="00440B9F">
        <w:rPr>
          <w:rFonts w:ascii="Palatino Linotype" w:hAnsi="Palatino Linotype" w:cs="Arial"/>
          <w:bCs/>
          <w:i/>
          <w:sz w:val="22"/>
          <w:szCs w:val="22"/>
          <w:lang w:val="en-GB"/>
        </w:rPr>
        <w:t>arāt</w:t>
      </w:r>
      <w:r w:rsidRPr="00440B9F">
        <w:rPr>
          <w:rFonts w:ascii="Palatino Linotype" w:hAnsi="Palatino Linotype"/>
          <w:color w:val="000000"/>
          <w:sz w:val="22"/>
          <w:szCs w:val="22"/>
          <w:lang w:val="en-GB"/>
        </w:rPr>
        <w:t xml:space="preserve"> structures were also found within the city centre of Beirut during the early nineteenth century. These were larger living spaces, composed of ‘chambres modestes (</w:t>
      </w:r>
      <w:r w:rsidRPr="00440B9F">
        <w:rPr>
          <w:rFonts w:ascii="Palatino Linotype" w:hAnsi="Palatino Linotype"/>
          <w:i/>
          <w:color w:val="000000"/>
          <w:sz w:val="22"/>
          <w:szCs w:val="22"/>
          <w:lang w:val="en-GB"/>
        </w:rPr>
        <w:t>oudah</w:t>
      </w:r>
      <w:r w:rsidRPr="00440B9F">
        <w:rPr>
          <w:rFonts w:ascii="Palatino Linotype" w:hAnsi="Palatino Linotype"/>
          <w:color w:val="000000"/>
          <w:sz w:val="22"/>
          <w:szCs w:val="22"/>
          <w:lang w:val="en-GB"/>
        </w:rPr>
        <w:t>) ou de réduits exigus (</w:t>
      </w:r>
      <w:r w:rsidRPr="00440B9F">
        <w:rPr>
          <w:rFonts w:ascii="Palatino Linotype" w:hAnsi="Palatino Linotype"/>
          <w:i/>
          <w:color w:val="000000"/>
          <w:sz w:val="22"/>
          <w:szCs w:val="22"/>
          <w:lang w:val="en-GB"/>
        </w:rPr>
        <w:t>khirbat</w:t>
      </w:r>
      <w:r w:rsidRPr="00440B9F">
        <w:rPr>
          <w:rFonts w:ascii="Palatino Linotype" w:hAnsi="Palatino Linotype"/>
          <w:color w:val="000000"/>
          <w:sz w:val="22"/>
          <w:szCs w:val="22"/>
          <w:lang w:val="en-GB"/>
        </w:rPr>
        <w:t>)’, which, like the</w:t>
      </w:r>
      <w:r w:rsidRPr="00440B9F">
        <w:rPr>
          <w:rFonts w:ascii="Palatino Linotype" w:eastAsiaTheme="minorHAnsi" w:hAnsi="Palatino Linotype" w:cs="Arial"/>
          <w:bCs/>
          <w:i/>
          <w:sz w:val="22"/>
          <w:szCs w:val="22"/>
          <w:lang w:val="en-GB"/>
        </w:rPr>
        <w:t xml:space="preserve"> </w:t>
      </w:r>
      <w:r w:rsidRPr="00440B9F">
        <w:rPr>
          <w:rFonts w:ascii="Palatino Linotype" w:hAnsi="Palatino Linotype"/>
          <w:bCs/>
          <w:i/>
          <w:color w:val="000000"/>
          <w:sz w:val="22"/>
          <w:szCs w:val="22"/>
          <w:lang w:val="en-GB"/>
        </w:rPr>
        <w:t>līwān</w:t>
      </w:r>
      <w:r w:rsidRPr="00440B9F">
        <w:rPr>
          <w:rFonts w:ascii="Palatino Linotype" w:hAnsi="Palatino Linotype"/>
          <w:color w:val="000000"/>
          <w:sz w:val="22"/>
          <w:szCs w:val="22"/>
          <w:lang w:val="en-GB"/>
        </w:rPr>
        <w:t xml:space="preserve"> design, opened onto communal courts. Davie argues that </w:t>
      </w:r>
      <w:r w:rsidRPr="00440B9F">
        <w:rPr>
          <w:rFonts w:ascii="JaghbUni" w:hAnsi="JaghbUni" w:cs="Arial"/>
          <w:bCs/>
          <w:i/>
          <w:sz w:val="22"/>
          <w:szCs w:val="22"/>
          <w:lang w:val="en-GB"/>
        </w:rPr>
        <w:t>ḥ</w:t>
      </w:r>
      <w:r w:rsidRPr="00440B9F">
        <w:rPr>
          <w:rFonts w:ascii="Palatino Linotype" w:hAnsi="Palatino Linotype" w:cs="Arial"/>
          <w:bCs/>
          <w:i/>
          <w:sz w:val="22"/>
          <w:szCs w:val="22"/>
          <w:lang w:val="en-GB"/>
        </w:rPr>
        <w:t>arāt</w:t>
      </w:r>
      <w:r w:rsidRPr="00440B9F">
        <w:rPr>
          <w:rFonts w:ascii="Palatino Linotype" w:hAnsi="Palatino Linotype"/>
          <w:color w:val="000000"/>
          <w:sz w:val="22"/>
          <w:szCs w:val="22"/>
          <w:lang w:val="en-GB"/>
        </w:rPr>
        <w:t xml:space="preserve"> structures were the first to be abandoned by native Beirutis, but were quickly re-inhabited by new Syrian immigrants.</w:t>
      </w:r>
      <w:r w:rsidRPr="00440B9F">
        <w:rPr>
          <w:rStyle w:val="FootnoteReference"/>
          <w:rFonts w:ascii="Palatino Linotype" w:hAnsi="Palatino Linotype"/>
          <w:color w:val="000000"/>
          <w:sz w:val="22"/>
          <w:szCs w:val="22"/>
          <w:lang w:val="en-GB"/>
        </w:rPr>
        <w:footnoteReference w:id="145"/>
      </w:r>
      <w:r w:rsidRPr="00440B9F">
        <w:rPr>
          <w:rFonts w:ascii="Palatino Linotype" w:hAnsi="Palatino Linotype"/>
          <w:color w:val="000000"/>
          <w:sz w:val="22"/>
          <w:szCs w:val="22"/>
          <w:lang w:val="en-GB"/>
        </w:rPr>
        <w:t xml:space="preserve"> </w:t>
      </w:r>
    </w:p>
    <w:p w:rsidR="00333418" w:rsidRDefault="00333418" w:rsidP="001761FF">
      <w:pPr>
        <w:pStyle w:val="BodyText"/>
        <w:spacing w:line="360" w:lineRule="auto"/>
        <w:jc w:val="both"/>
        <w:rPr>
          <w:rFonts w:ascii="Palatino Linotype" w:hAnsi="Palatino Linotype"/>
          <w:lang w:val="en-GB"/>
        </w:rPr>
      </w:pPr>
      <w:r w:rsidRPr="00440B9F">
        <w:rPr>
          <w:rFonts w:ascii="Palatino Linotype" w:hAnsi="Palatino Linotype"/>
          <w:sz w:val="22"/>
          <w:szCs w:val="22"/>
          <w:lang w:val="en-GB"/>
        </w:rPr>
        <w:tab/>
        <w:t>It was in the relatively open spaces of the suburbs that architects and home-owners experimented with new domestic designs.</w:t>
      </w:r>
      <w:r w:rsidRPr="00440B9F">
        <w:rPr>
          <w:rFonts w:ascii="Palatino Linotype" w:hAnsi="Palatino Linotype"/>
          <w:sz w:val="22"/>
          <w:szCs w:val="22"/>
          <w:vertAlign w:val="superscript"/>
          <w:lang w:val="en-GB"/>
        </w:rPr>
        <w:footnoteReference w:id="146"/>
      </w:r>
      <w:r w:rsidRPr="00440B9F">
        <w:rPr>
          <w:rFonts w:ascii="Palatino Linotype" w:hAnsi="Palatino Linotype"/>
          <w:sz w:val="22"/>
          <w:szCs w:val="22"/>
          <w:lang w:val="en-GB"/>
        </w:rPr>
        <w:t xml:space="preserve"> Although blossoming after 1860, the ‘Triple-Arched’ or ‘Centre Hall’ house first emerged in Beirut’s suburbs during the 1850s.</w:t>
      </w:r>
      <w:r w:rsidRPr="00440B9F">
        <w:rPr>
          <w:rStyle w:val="FootnoteReference"/>
          <w:rFonts w:ascii="Palatino Linotype" w:hAnsi="Palatino Linotype"/>
          <w:sz w:val="22"/>
          <w:szCs w:val="22"/>
          <w:lang w:val="en-GB"/>
        </w:rPr>
        <w:footnoteReference w:id="147"/>
      </w:r>
      <w:r w:rsidRPr="00440B9F">
        <w:rPr>
          <w:rFonts w:ascii="Palatino Linotype" w:hAnsi="Palatino Linotype"/>
          <w:sz w:val="22"/>
          <w:szCs w:val="22"/>
          <w:lang w:val="en-GB"/>
        </w:rPr>
        <w:t xml:space="preserve"> Amalgamating Ottoman, Venetian, Arab and French designs, this style centred upon the central hall (</w:t>
      </w:r>
      <w:r w:rsidRPr="00440B9F">
        <w:rPr>
          <w:rFonts w:ascii="Palatino Linotype" w:hAnsi="Palatino Linotype"/>
          <w:bCs/>
          <w:i/>
          <w:sz w:val="22"/>
          <w:szCs w:val="22"/>
          <w:lang w:val="en-GB"/>
        </w:rPr>
        <w:t>dār</w:t>
      </w:r>
      <w:r w:rsidRPr="00440B9F">
        <w:rPr>
          <w:rFonts w:ascii="Palatino Linotype" w:hAnsi="Palatino Linotype"/>
          <w:sz w:val="22"/>
          <w:szCs w:val="22"/>
          <w:lang w:val="en-GB"/>
        </w:rPr>
        <w:t>) on the upper floor, which had a double-arched (and later triple-arched) façade of windows, which faced north onto a panoramic of the sea.</w:t>
      </w:r>
      <w:r w:rsidRPr="00440B9F">
        <w:rPr>
          <w:rStyle w:val="FootnoteReference"/>
          <w:rFonts w:ascii="Palatino Linotype" w:hAnsi="Palatino Linotype"/>
          <w:sz w:val="22"/>
          <w:szCs w:val="22"/>
          <w:lang w:val="en-GB"/>
        </w:rPr>
        <w:footnoteReference w:id="148"/>
      </w:r>
      <w:r w:rsidRPr="00440B9F">
        <w:rPr>
          <w:rFonts w:ascii="Palatino Linotype" w:hAnsi="Palatino Linotype"/>
          <w:sz w:val="22"/>
          <w:szCs w:val="22"/>
          <w:lang w:val="en-GB"/>
        </w:rPr>
        <w:t xml:space="preserve"> It appears that the enclosed central hall replaced (and reoriented) the </w:t>
      </w:r>
      <w:r w:rsidRPr="00440B9F">
        <w:rPr>
          <w:rFonts w:ascii="Palatino Linotype" w:hAnsi="Palatino Linotype"/>
          <w:bCs/>
          <w:i/>
          <w:sz w:val="22"/>
          <w:szCs w:val="22"/>
          <w:lang w:val="en-GB"/>
        </w:rPr>
        <w:t>līwān</w:t>
      </w:r>
      <w:r w:rsidRPr="00440B9F">
        <w:rPr>
          <w:rFonts w:ascii="Palatino Linotype" w:hAnsi="Palatino Linotype"/>
          <w:sz w:val="22"/>
          <w:szCs w:val="22"/>
          <w:lang w:val="en-GB"/>
        </w:rPr>
        <w:t>, while the triple-arched façade differentiated this home from its neighbours.</w:t>
      </w:r>
      <w:r w:rsidRPr="00440B9F">
        <w:rPr>
          <w:rFonts w:ascii="Palatino Linotype" w:hAnsi="Palatino Linotype"/>
          <w:sz w:val="22"/>
          <w:szCs w:val="22"/>
          <w:vertAlign w:val="superscript"/>
          <w:lang w:val="en-GB"/>
        </w:rPr>
        <w:footnoteReference w:id="149"/>
      </w:r>
      <w:r w:rsidRPr="00440B9F">
        <w:rPr>
          <w:rFonts w:ascii="Palatino Linotype" w:hAnsi="Palatino Linotype"/>
          <w:sz w:val="22"/>
          <w:szCs w:val="22"/>
          <w:lang w:val="en-GB"/>
        </w:rPr>
        <w:t xml:space="preserve"> While the glass façade opened the family to the outside world, the buildings elevation and distance from its neighbours reinforced the family’s privacy.</w:t>
      </w:r>
      <w:r w:rsidRPr="00440B9F">
        <w:rPr>
          <w:rStyle w:val="FootnoteReference"/>
          <w:rFonts w:ascii="Palatino Linotype" w:hAnsi="Palatino Linotype"/>
          <w:sz w:val="22"/>
          <w:szCs w:val="22"/>
          <w:lang w:val="en-GB"/>
        </w:rPr>
        <w:footnoteReference w:id="150"/>
      </w:r>
      <w:r w:rsidRPr="00440B9F">
        <w:rPr>
          <w:rFonts w:ascii="Palatino Linotype" w:hAnsi="Palatino Linotype"/>
          <w:sz w:val="22"/>
          <w:szCs w:val="22"/>
          <w:lang w:val="en-GB"/>
        </w:rPr>
        <w:t xml:space="preserve"> This design also discouraged the spontaneous informal interactions amongst neighbours, but in a manner that facilitated the exchange of formal gatherings and convocations, which blossomed in late nineteenth century Beirut.</w:t>
      </w:r>
      <w:r w:rsidRPr="00440B9F">
        <w:rPr>
          <w:rStyle w:val="FootnoteReference"/>
          <w:rFonts w:ascii="Palatino Linotype" w:hAnsi="Palatino Linotype"/>
          <w:sz w:val="22"/>
          <w:szCs w:val="22"/>
          <w:lang w:val="en-GB"/>
        </w:rPr>
        <w:footnoteReference w:id="151"/>
      </w:r>
      <w:r w:rsidRPr="00440B9F">
        <w:rPr>
          <w:rFonts w:ascii="Palatino Linotype" w:hAnsi="Palatino Linotype"/>
          <w:sz w:val="22"/>
          <w:szCs w:val="22"/>
          <w:lang w:val="en-GB"/>
        </w:rPr>
        <w:t xml:space="preserve"> Thus, building a house in this design demonstrated the ingenuity, wealth and hybrid culture of its owners, and in so doing, reveals the political, economic and social shifts that allowed for this structure to be erected not in Beirut’s city centre, but its suburbs.</w:t>
      </w:r>
      <w:r w:rsidRPr="00440B9F">
        <w:rPr>
          <w:rStyle w:val="FootnoteReference"/>
          <w:rFonts w:ascii="Palatino Linotype" w:hAnsi="Palatino Linotype"/>
          <w:sz w:val="22"/>
          <w:szCs w:val="22"/>
          <w:lang w:val="en-GB"/>
        </w:rPr>
        <w:footnoteReference w:id="152"/>
      </w:r>
    </w:p>
    <w:p w:rsidR="00333418" w:rsidRPr="00440B9F" w:rsidRDefault="00333418" w:rsidP="001761FF">
      <w:pPr>
        <w:pStyle w:val="BodyText"/>
        <w:spacing w:line="360" w:lineRule="auto"/>
        <w:jc w:val="both"/>
        <w:rPr>
          <w:rFonts w:ascii="Palatino Linotype" w:hAnsi="Palatino Linotype"/>
          <w:sz w:val="22"/>
          <w:szCs w:val="22"/>
          <w:lang w:val="en-GB"/>
        </w:rPr>
      </w:pPr>
    </w:p>
    <w:p w:rsidR="00333418" w:rsidRPr="00440B9F" w:rsidRDefault="00333418" w:rsidP="001761FF">
      <w:pPr>
        <w:pStyle w:val="BodyText"/>
        <w:spacing w:line="360" w:lineRule="auto"/>
        <w:jc w:val="center"/>
        <w:outlineLvl w:val="0"/>
        <w:rPr>
          <w:rFonts w:ascii="Arial" w:hAnsi="Arial" w:cs="Arial"/>
          <w:smallCaps/>
          <w:sz w:val="22"/>
          <w:szCs w:val="22"/>
          <w:lang w:val="en-GB"/>
        </w:rPr>
      </w:pPr>
    </w:p>
    <w:p w:rsidR="00333418" w:rsidRPr="00440B9F" w:rsidRDefault="00333418" w:rsidP="001761FF">
      <w:pPr>
        <w:pStyle w:val="BodyText"/>
        <w:spacing w:line="360" w:lineRule="auto"/>
        <w:jc w:val="center"/>
        <w:outlineLvl w:val="0"/>
        <w:rPr>
          <w:rFonts w:ascii="Arial" w:hAnsi="Arial" w:cs="Arial"/>
          <w:smallCaps/>
          <w:sz w:val="22"/>
          <w:szCs w:val="22"/>
          <w:lang w:val="en-GB"/>
        </w:rPr>
      </w:pPr>
      <w:r w:rsidRPr="00440B9F">
        <w:rPr>
          <w:rFonts w:ascii="Arial" w:hAnsi="Arial" w:cs="Arial"/>
          <w:smallCaps/>
          <w:sz w:val="22"/>
          <w:szCs w:val="22"/>
          <w:lang w:val="en-GB"/>
        </w:rPr>
        <w:t>The Option of ‘Amerika’</w:t>
      </w:r>
    </w:p>
    <w:p w:rsidR="00333418" w:rsidRPr="00440B9F" w:rsidRDefault="00333418" w:rsidP="001761FF">
      <w:pPr>
        <w:pStyle w:val="BodyText"/>
        <w:spacing w:line="360" w:lineRule="auto"/>
        <w:jc w:val="both"/>
        <w:rPr>
          <w:rFonts w:ascii="Palatino Linotype" w:hAnsi="Palatino Linotype"/>
          <w:smallCaps/>
          <w:sz w:val="22"/>
          <w:szCs w:val="22"/>
          <w:lang w:val="en-GB"/>
        </w:rPr>
      </w:pP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The ABCFM missionaries argued that they first ‘came into [Syria] as </w:t>
      </w:r>
      <w:r w:rsidRPr="00440B9F">
        <w:rPr>
          <w:rFonts w:ascii="Palatino Linotype" w:hAnsi="Palatino Linotype"/>
          <w:sz w:val="22"/>
          <w:szCs w:val="22"/>
          <w:u w:val="single"/>
          <w:lang w:val="en-GB"/>
        </w:rPr>
        <w:t>strangers and foreigners</w:t>
      </w:r>
      <w:r w:rsidRPr="00440B9F">
        <w:rPr>
          <w:rFonts w:ascii="Palatino Linotype" w:hAnsi="Palatino Linotype"/>
          <w:sz w:val="22"/>
          <w:szCs w:val="22"/>
          <w:lang w:val="en-GB"/>
        </w:rPr>
        <w:t xml:space="preserve">. They had </w:t>
      </w:r>
      <w:r w:rsidRPr="00440B9F">
        <w:rPr>
          <w:rFonts w:ascii="Palatino Linotype" w:hAnsi="Palatino Linotype"/>
          <w:sz w:val="22"/>
          <w:szCs w:val="22"/>
          <w:u w:val="single"/>
          <w:lang w:val="en-GB"/>
        </w:rPr>
        <w:t>no friends</w:t>
      </w:r>
      <w:r w:rsidRPr="00440B9F">
        <w:rPr>
          <w:rFonts w:ascii="Palatino Linotype" w:hAnsi="Palatino Linotype"/>
          <w:sz w:val="22"/>
          <w:szCs w:val="22"/>
          <w:lang w:val="en-GB"/>
        </w:rPr>
        <w:t xml:space="preserve"> here. They had </w:t>
      </w:r>
      <w:r w:rsidRPr="00440B9F">
        <w:rPr>
          <w:rFonts w:ascii="Palatino Linotype" w:hAnsi="Palatino Linotype"/>
          <w:sz w:val="22"/>
          <w:szCs w:val="22"/>
          <w:u w:val="single"/>
          <w:lang w:val="en-GB"/>
        </w:rPr>
        <w:t>no character.</w:t>
      </w:r>
      <w:r w:rsidRPr="00440B9F">
        <w:rPr>
          <w:rFonts w:ascii="Palatino Linotype" w:hAnsi="Palatino Linotype"/>
          <w:sz w:val="22"/>
          <w:szCs w:val="22"/>
          <w:lang w:val="en-GB"/>
        </w:rPr>
        <w:t xml:space="preserve"> They had </w:t>
      </w:r>
      <w:r w:rsidRPr="00440B9F">
        <w:rPr>
          <w:rFonts w:ascii="Palatino Linotype" w:hAnsi="Palatino Linotype"/>
          <w:sz w:val="22"/>
          <w:szCs w:val="22"/>
          <w:u w:val="single"/>
          <w:lang w:val="en-GB"/>
        </w:rPr>
        <w:t>no influence</w:t>
      </w:r>
      <w:r w:rsidRPr="00440B9F">
        <w:rPr>
          <w:rFonts w:ascii="Palatino Linotype" w:hAnsi="Palatino Linotype"/>
          <w:sz w:val="22"/>
          <w:szCs w:val="22"/>
          <w:lang w:val="en-GB"/>
        </w:rPr>
        <w:t>.’</w:t>
      </w:r>
      <w:r w:rsidRPr="00440B9F">
        <w:rPr>
          <w:rFonts w:ascii="Palatino Linotype" w:hAnsi="Palatino Linotype"/>
          <w:sz w:val="22"/>
          <w:szCs w:val="22"/>
          <w:vertAlign w:val="superscript"/>
          <w:lang w:val="en-GB"/>
        </w:rPr>
        <w:footnoteReference w:id="153"/>
      </w:r>
      <w:r w:rsidRPr="00440B9F">
        <w:rPr>
          <w:rFonts w:ascii="Palatino Linotype" w:hAnsi="Palatino Linotype"/>
          <w:sz w:val="22"/>
          <w:szCs w:val="22"/>
          <w:lang w:val="en-GB"/>
        </w:rPr>
        <w:t xml:space="preserve"> In 1823, many Syrians did not know who the Americans were and they were unsure of how to define and engage with American culture and religion.</w:t>
      </w:r>
      <w:r w:rsidRPr="00440B9F">
        <w:rPr>
          <w:rFonts w:ascii="Palatino Linotype" w:hAnsi="Palatino Linotype"/>
          <w:sz w:val="22"/>
          <w:szCs w:val="22"/>
          <w:vertAlign w:val="superscript"/>
          <w:lang w:val="en-GB"/>
        </w:rPr>
        <w:footnoteReference w:id="154"/>
      </w:r>
      <w:r w:rsidRPr="00440B9F">
        <w:rPr>
          <w:rFonts w:ascii="Palatino Linotype" w:hAnsi="Palatino Linotype"/>
          <w:sz w:val="22"/>
          <w:szCs w:val="22"/>
          <w:lang w:val="en-GB"/>
        </w:rPr>
        <w:t xml:space="preserve"> It was during this vibrant period of reshaping political alliances, modifying religious identities and re-settling populations that ‘Amerika’ emerged as an ‘option’ for Syrians’ social, religious and political alliances. </w:t>
      </w:r>
    </w:p>
    <w:p w:rsidR="00333418" w:rsidRPr="00440B9F" w:rsidRDefault="00333418" w:rsidP="001761FF">
      <w:pPr>
        <w:pStyle w:val="BodyText"/>
        <w:spacing w:line="360" w:lineRule="auto"/>
        <w:jc w:val="both"/>
        <w:rPr>
          <w:rFonts w:ascii="Palatino Linotype" w:hAnsi="Palatino Linotype"/>
          <w:color w:val="000000"/>
          <w:sz w:val="22"/>
          <w:szCs w:val="22"/>
          <w:lang w:val="en-GB"/>
        </w:rPr>
      </w:pPr>
      <w:r w:rsidRPr="00440B9F">
        <w:rPr>
          <w:rFonts w:ascii="Palatino Linotype" w:hAnsi="Palatino Linotype"/>
          <w:sz w:val="22"/>
          <w:szCs w:val="22"/>
          <w:lang w:val="en-GB"/>
        </w:rPr>
        <w:tab/>
        <w:t>One of the first appellations used by Syrians to describe this new group was ‘</w:t>
      </w:r>
      <w:r w:rsidRPr="00440B9F">
        <w:rPr>
          <w:rFonts w:ascii="Palatino Linotype" w:hAnsi="Palatino Linotype"/>
          <w:bCs/>
          <w:i/>
          <w:sz w:val="22"/>
          <w:szCs w:val="22"/>
          <w:lang w:val="en-GB"/>
        </w:rPr>
        <w:t>Franji</w:t>
      </w:r>
      <w:r w:rsidRPr="00440B9F">
        <w:rPr>
          <w:rFonts w:ascii="Palatino Linotype" w:hAnsi="Palatino Linotype"/>
          <w:i/>
          <w:sz w:val="22"/>
          <w:szCs w:val="22"/>
          <w:lang w:val="en-GB"/>
        </w:rPr>
        <w:t>’</w:t>
      </w:r>
      <w:r w:rsidRPr="00440B9F">
        <w:rPr>
          <w:rFonts w:ascii="Palatino Linotype" w:hAnsi="Palatino Linotype"/>
          <w:sz w:val="22"/>
          <w:szCs w:val="22"/>
          <w:lang w:val="en-GB"/>
        </w:rPr>
        <w:t xml:space="preserve"> or ‘Frank’/French. This term was applied to all Europeans, as seen with the abovementioned ‘</w:t>
      </w:r>
      <w:r w:rsidRPr="00440B9F">
        <w:rPr>
          <w:rFonts w:ascii="Palatino Linotype" w:hAnsi="Palatino Linotype"/>
          <w:i/>
          <w:sz w:val="22"/>
          <w:szCs w:val="22"/>
          <w:lang w:val="en-GB"/>
        </w:rPr>
        <w:t>ta’ifat</w:t>
      </w:r>
      <w:r w:rsidRPr="00440B9F">
        <w:rPr>
          <w:rFonts w:ascii="Palatino Linotype" w:hAnsi="Palatino Linotype"/>
          <w:sz w:val="22"/>
          <w:szCs w:val="22"/>
          <w:lang w:val="en-GB"/>
        </w:rPr>
        <w:t xml:space="preserve"> al-Afranj’ in eighteenth century Hama. Some Americans accepted this label for it allowed them to appropriate the favourable social, political and economic arrangements granted to Europeans before official treaties were constructed between the Porte and the American government.</w:t>
      </w:r>
      <w:r w:rsidRPr="00440B9F">
        <w:rPr>
          <w:rStyle w:val="FootnoteReference"/>
          <w:rFonts w:ascii="Palatino Linotype" w:hAnsi="Palatino Linotype"/>
          <w:sz w:val="22"/>
          <w:szCs w:val="22"/>
          <w:lang w:val="en-GB"/>
        </w:rPr>
        <w:footnoteReference w:id="155"/>
      </w:r>
      <w:r w:rsidRPr="00440B9F">
        <w:rPr>
          <w:rFonts w:ascii="Palatino Linotype" w:hAnsi="Palatino Linotype"/>
          <w:sz w:val="22"/>
          <w:szCs w:val="22"/>
          <w:lang w:val="en-GB"/>
        </w:rPr>
        <w:t xml:space="preserve"> As a result, many Americans were addressed as, </w:t>
      </w:r>
      <w:r w:rsidRPr="00440B9F">
        <w:rPr>
          <w:rFonts w:ascii="Palatino Linotype" w:hAnsi="Palatino Linotype"/>
          <w:i/>
          <w:sz w:val="22"/>
          <w:szCs w:val="22"/>
          <w:lang w:val="en-GB"/>
        </w:rPr>
        <w:t xml:space="preserve">Signor </w:t>
      </w:r>
      <w:r w:rsidRPr="00440B9F">
        <w:rPr>
          <w:rFonts w:ascii="Palatino Linotype" w:hAnsi="Palatino Linotype"/>
          <w:sz w:val="22"/>
          <w:szCs w:val="22"/>
          <w:lang w:val="en-GB"/>
        </w:rPr>
        <w:t xml:space="preserve">and </w:t>
      </w:r>
      <w:r w:rsidRPr="00440B9F">
        <w:rPr>
          <w:rFonts w:ascii="Palatino Linotype" w:hAnsi="Palatino Linotype"/>
          <w:i/>
          <w:sz w:val="22"/>
          <w:szCs w:val="22"/>
          <w:lang w:val="en-GB"/>
        </w:rPr>
        <w:t>Signora</w:t>
      </w:r>
      <w:r w:rsidRPr="00440B9F">
        <w:rPr>
          <w:rFonts w:ascii="Palatino Linotype" w:hAnsi="Palatino Linotype"/>
          <w:sz w:val="22"/>
          <w:szCs w:val="22"/>
          <w:lang w:val="en-GB"/>
        </w:rPr>
        <w:t>, which</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 xml:space="preserve">were the titles associated with the </w:t>
      </w:r>
      <w:r w:rsidRPr="00440B9F">
        <w:rPr>
          <w:rFonts w:ascii="Palatino Linotype" w:hAnsi="Palatino Linotype"/>
          <w:i/>
          <w:sz w:val="22"/>
          <w:szCs w:val="22"/>
          <w:lang w:val="en-GB"/>
        </w:rPr>
        <w:t xml:space="preserve">Franji. </w:t>
      </w:r>
      <w:r w:rsidRPr="00440B9F">
        <w:rPr>
          <w:rFonts w:ascii="Palatino Linotype" w:hAnsi="Palatino Linotype"/>
          <w:sz w:val="22"/>
          <w:szCs w:val="22"/>
          <w:lang w:val="en-GB"/>
        </w:rPr>
        <w:t>During the early nineteenth century,</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Italian, not French, was the language of commerce throughout the Mediterranean, so that these titles were used by Syrians, Americans and other Europeans to address each other.</w:t>
      </w:r>
      <w:r w:rsidRPr="00440B9F">
        <w:rPr>
          <w:rFonts w:ascii="Palatino Linotype" w:hAnsi="Palatino Linotype"/>
          <w:sz w:val="22"/>
          <w:szCs w:val="22"/>
          <w:vertAlign w:val="superscript"/>
          <w:lang w:val="en-GB"/>
        </w:rPr>
        <w:footnoteReference w:id="156"/>
      </w:r>
      <w:r w:rsidRPr="00440B9F">
        <w:rPr>
          <w:rFonts w:ascii="Palatino Linotype" w:hAnsi="Palatino Linotype"/>
          <w:sz w:val="22"/>
          <w:szCs w:val="22"/>
          <w:lang w:val="en-GB"/>
        </w:rPr>
        <w:t xml:space="preserve"> The importance of knowing Italian was recognised by many Syrians, who sought </w:t>
      </w:r>
      <w:r w:rsidRPr="00440B9F">
        <w:rPr>
          <w:rFonts w:ascii="Palatino Linotype" w:hAnsi="Palatino Linotype"/>
          <w:bCs/>
          <w:i/>
          <w:sz w:val="22"/>
          <w:szCs w:val="22"/>
          <w:lang w:val="en-GB"/>
        </w:rPr>
        <w:t>Franji</w:t>
      </w:r>
      <w:r w:rsidRPr="00440B9F">
        <w:rPr>
          <w:rFonts w:ascii="Palatino Linotype" w:hAnsi="Palatino Linotype"/>
          <w:bCs/>
          <w:sz w:val="22"/>
          <w:szCs w:val="22"/>
          <w:lang w:val="en-GB"/>
        </w:rPr>
        <w:t>,</w:t>
      </w:r>
      <w:r w:rsidRPr="00440B9F">
        <w:rPr>
          <w:rFonts w:ascii="Palatino Linotype" w:hAnsi="Palatino Linotype"/>
          <w:sz w:val="22"/>
          <w:szCs w:val="22"/>
          <w:lang w:val="en-GB"/>
        </w:rPr>
        <w:t xml:space="preserve"> including the ABCFM missionaries, to teach them this trade language.</w:t>
      </w:r>
      <w:r w:rsidRPr="00440B9F">
        <w:rPr>
          <w:rFonts w:ascii="Palatino Linotype" w:hAnsi="Palatino Linotype"/>
          <w:sz w:val="22"/>
          <w:szCs w:val="22"/>
          <w:vertAlign w:val="superscript"/>
          <w:lang w:val="en-GB"/>
        </w:rPr>
        <w:footnoteReference w:id="157"/>
      </w:r>
      <w:r w:rsidRPr="00440B9F">
        <w:rPr>
          <w:rFonts w:ascii="Palatino Linotype" w:hAnsi="Palatino Linotype"/>
          <w:sz w:val="22"/>
          <w:szCs w:val="22"/>
          <w:lang w:val="en-GB"/>
        </w:rPr>
        <w:t xml:space="preserve"> After 1840 however, the use of Italian was replaced by English, French and Arabic as the languages of communication amongst foreigners and Syrians, which ignited a demand in the education of these languages. It is important to recognise that while the ABCFM missionaries employed the term </w:t>
      </w:r>
      <w:r w:rsidRPr="00440B9F">
        <w:rPr>
          <w:rFonts w:ascii="Palatino Linotype" w:hAnsi="Palatino Linotype"/>
          <w:bCs/>
          <w:i/>
          <w:sz w:val="22"/>
          <w:szCs w:val="22"/>
          <w:lang w:val="en-GB"/>
        </w:rPr>
        <w:t>Franji</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 xml:space="preserve">and the associated titles of </w:t>
      </w:r>
      <w:r w:rsidRPr="00440B9F">
        <w:rPr>
          <w:rFonts w:ascii="Palatino Linotype" w:hAnsi="Palatino Linotype"/>
          <w:i/>
          <w:sz w:val="22"/>
          <w:szCs w:val="22"/>
          <w:lang w:val="en-GB"/>
        </w:rPr>
        <w:t>Signor</w:t>
      </w:r>
      <w:r w:rsidRPr="00440B9F">
        <w:rPr>
          <w:rFonts w:ascii="Palatino Linotype" w:hAnsi="Palatino Linotype"/>
          <w:sz w:val="22"/>
          <w:szCs w:val="22"/>
          <w:lang w:val="en-GB"/>
        </w:rPr>
        <w:t xml:space="preserve"> and </w:t>
      </w:r>
      <w:r w:rsidRPr="00440B9F">
        <w:rPr>
          <w:rFonts w:ascii="Palatino Linotype" w:hAnsi="Palatino Linotype"/>
          <w:i/>
          <w:sz w:val="22"/>
          <w:szCs w:val="22"/>
          <w:lang w:val="en-GB"/>
        </w:rPr>
        <w:t>Signora,</w:t>
      </w:r>
      <w:r w:rsidRPr="00440B9F">
        <w:rPr>
          <w:rFonts w:ascii="Palatino Linotype" w:hAnsi="Palatino Linotype"/>
          <w:sz w:val="22"/>
          <w:szCs w:val="22"/>
          <w:lang w:val="en-GB"/>
        </w:rPr>
        <w:t xml:space="preserve"> they were hesitant of being too closely linked with or mistaken for their French contemporaries.</w:t>
      </w:r>
      <w:r w:rsidRPr="00440B9F">
        <w:rPr>
          <w:rStyle w:val="FootnoteReference"/>
          <w:rFonts w:ascii="Palatino Linotype" w:hAnsi="Palatino Linotype"/>
          <w:sz w:val="22"/>
          <w:szCs w:val="22"/>
          <w:lang w:val="en-GB"/>
        </w:rPr>
        <w:footnoteReference w:id="158"/>
      </w:r>
      <w:r w:rsidRPr="00440B9F">
        <w:rPr>
          <w:rFonts w:ascii="Palatino Linotype" w:hAnsi="Palatino Linotype"/>
          <w:sz w:val="22"/>
          <w:szCs w:val="22"/>
          <w:lang w:val="en-GB"/>
        </w:rPr>
        <w:t xml:space="preserve"> </w:t>
      </w:r>
      <w:r w:rsidRPr="00440B9F">
        <w:rPr>
          <w:rFonts w:ascii="Palatino Linotype" w:hAnsi="Palatino Linotype"/>
          <w:color w:val="000000"/>
          <w:sz w:val="22"/>
          <w:szCs w:val="22"/>
          <w:lang w:val="en-GB"/>
        </w:rPr>
        <w:t>This tension was displayed in the Annual Report of 1835, in which the ABCFM missionaries crossed out the word ‘Frank’ and replaced with the term, ‘European’.</w:t>
      </w:r>
      <w:r w:rsidRPr="00440B9F">
        <w:rPr>
          <w:rStyle w:val="FootnoteReference"/>
          <w:rFonts w:ascii="Palatino Linotype" w:hAnsi="Palatino Linotype"/>
          <w:color w:val="000000"/>
          <w:sz w:val="22"/>
          <w:szCs w:val="22"/>
          <w:lang w:val="en-GB"/>
        </w:rPr>
        <w:footnoteReference w:id="159"/>
      </w:r>
      <w:r w:rsidRPr="00440B9F">
        <w:rPr>
          <w:rFonts w:ascii="Palatino Linotype" w:hAnsi="Palatino Linotype"/>
          <w:color w:val="000000"/>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Syrians also labelled the Americans as ‘</w:t>
      </w:r>
      <w:r w:rsidRPr="00440B9F">
        <w:rPr>
          <w:rFonts w:ascii="Palatino Linotype" w:hAnsi="Palatino Linotype"/>
          <w:i/>
          <w:sz w:val="22"/>
          <w:szCs w:val="22"/>
          <w:lang w:val="en-GB"/>
        </w:rPr>
        <w:t>Inglizi</w:t>
      </w:r>
      <w:r w:rsidRPr="00440B9F">
        <w:rPr>
          <w:rFonts w:ascii="Palatino Linotype" w:hAnsi="Palatino Linotype"/>
          <w:sz w:val="22"/>
          <w:szCs w:val="22"/>
          <w:lang w:val="en-GB"/>
        </w:rPr>
        <w:t>’ or ‘English’. The ABCFM missionaries affirmed this association and often employed the term ‘English’ to describe themselves, for it allowed them to harness the political prestige granted to the British residents of the region. Recalling an attack on Beirut, William Goodell wrote that ‘[m]any parties of [Greeks sailors] came to my door, but on my telling them I was English, they departed (note: As we had English protection, we are known in no other character, in this country, than as English).’</w:t>
      </w:r>
      <w:r w:rsidRPr="00440B9F">
        <w:rPr>
          <w:rStyle w:val="FootnoteReference"/>
          <w:rFonts w:ascii="Palatino Linotype" w:hAnsi="Palatino Linotype"/>
          <w:sz w:val="22"/>
          <w:szCs w:val="22"/>
          <w:lang w:val="en-GB"/>
        </w:rPr>
        <w:footnoteReference w:id="160"/>
      </w:r>
      <w:r w:rsidRPr="00440B9F">
        <w:rPr>
          <w:rFonts w:ascii="Palatino Linotype" w:hAnsi="Palatino Linotype"/>
          <w:sz w:val="22"/>
          <w:szCs w:val="22"/>
          <w:lang w:val="en-GB"/>
        </w:rPr>
        <w:t xml:space="preserve"> Tellingly, Jonas King, a rather polemical early missionary for the ABCFM, wrote his famous 1825 ‘Farewell Letter’ as a response to the question ‘whether the English did have a religion?’</w:t>
      </w:r>
      <w:r w:rsidRPr="00440B9F">
        <w:rPr>
          <w:rStyle w:val="FootnoteReference"/>
          <w:rFonts w:ascii="Palatino Linotype" w:hAnsi="Palatino Linotype"/>
          <w:sz w:val="22"/>
          <w:szCs w:val="22"/>
          <w:lang w:val="en-GB"/>
        </w:rPr>
        <w:footnoteReference w:id="161"/>
      </w:r>
      <w:r w:rsidRPr="00440B9F">
        <w:rPr>
          <w:rFonts w:ascii="Palatino Linotype" w:hAnsi="Palatino Linotype"/>
          <w:sz w:val="22"/>
          <w:szCs w:val="22"/>
          <w:lang w:val="en-GB"/>
        </w:rPr>
        <w:t xml:space="preserve"> This ‘English’ label persisted throughout the period of review, despite the American government’s assertion of political autonomy, due to the shared English language, Protestant faith and similar culture that unified many American and British residents of the region.</w:t>
      </w:r>
      <w:r w:rsidRPr="00440B9F">
        <w:rPr>
          <w:rStyle w:val="FootnoteReference"/>
          <w:rFonts w:ascii="Palatino Linotype" w:hAnsi="Palatino Linotype"/>
          <w:sz w:val="22"/>
          <w:szCs w:val="22"/>
          <w:lang w:val="en-GB"/>
        </w:rPr>
        <w:footnoteReference w:id="162"/>
      </w:r>
      <w:r w:rsidRPr="00440B9F">
        <w:rPr>
          <w:rFonts w:ascii="Palatino Linotype" w:hAnsi="Palatino Linotype"/>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Although not all American residents of Syria were Protestant,</w:t>
      </w:r>
      <w:r w:rsidRPr="00440B9F">
        <w:rPr>
          <w:rStyle w:val="FootnoteReference"/>
          <w:rFonts w:ascii="Palatino Linotype" w:hAnsi="Palatino Linotype"/>
          <w:sz w:val="22"/>
          <w:szCs w:val="22"/>
          <w:lang w:val="en-GB"/>
        </w:rPr>
        <w:footnoteReference w:id="163"/>
      </w:r>
      <w:r w:rsidRPr="00440B9F">
        <w:rPr>
          <w:rFonts w:ascii="Palatino Linotype" w:hAnsi="Palatino Linotype"/>
          <w:sz w:val="22"/>
          <w:szCs w:val="22"/>
          <w:lang w:val="en-GB"/>
        </w:rPr>
        <w:t xml:space="preserve"> this thesis argues that Protestantism in Syria before 1860 was affiliated with American culture, particularly that presented by the ABCFM missionaries. For example, Syrians also used the Protestant-linked term ‘</w:t>
      </w:r>
      <w:r w:rsidRPr="00440B9F">
        <w:rPr>
          <w:rFonts w:ascii="Palatino Linotype" w:hAnsi="Palatino Linotype"/>
          <w:i/>
          <w:sz w:val="22"/>
          <w:szCs w:val="22"/>
          <w:lang w:val="en-GB"/>
        </w:rPr>
        <w:t>Biblishiyyûn</w:t>
      </w:r>
      <w:r w:rsidRPr="00440B9F">
        <w:rPr>
          <w:rFonts w:ascii="Palatino Linotype" w:hAnsi="Palatino Linotype"/>
          <w:sz w:val="22"/>
          <w:szCs w:val="22"/>
          <w:lang w:val="en-GB"/>
        </w:rPr>
        <w:t>’ or ‘Biblemen’ to describe Americans. This reference may have originated with the activities of the ABCFM missionaries themselves, for the dispensation of Arabic Bibles and Scriptural tracts was a vital aspect of the ABCFM’s work in Syria.</w:t>
      </w:r>
      <w:r w:rsidRPr="00440B9F">
        <w:rPr>
          <w:rStyle w:val="FootnoteReference"/>
          <w:rFonts w:ascii="Palatino Linotype" w:hAnsi="Palatino Linotype"/>
          <w:sz w:val="22"/>
          <w:szCs w:val="22"/>
          <w:lang w:val="en-GB"/>
        </w:rPr>
        <w:footnoteReference w:id="164"/>
      </w:r>
      <w:r w:rsidRPr="00440B9F">
        <w:rPr>
          <w:rFonts w:ascii="Palatino Linotype" w:hAnsi="Palatino Linotype"/>
          <w:sz w:val="22"/>
          <w:szCs w:val="22"/>
          <w:lang w:val="en-GB"/>
        </w:rPr>
        <w:t xml:space="preserve"> The Protestants’ contrasted their practice of giving out Bibles to the activities of Latin missionaries, who distributed ‘gifts’ of Marian medallions and Rosaries.</w:t>
      </w:r>
      <w:r w:rsidRPr="00440B9F">
        <w:rPr>
          <w:rStyle w:val="FootnoteReference"/>
          <w:rFonts w:ascii="Palatino Linotype" w:hAnsi="Palatino Linotype"/>
          <w:sz w:val="22"/>
          <w:szCs w:val="22"/>
          <w:lang w:val="en-GB"/>
        </w:rPr>
        <w:footnoteReference w:id="165"/>
      </w:r>
      <w:r w:rsidRPr="00440B9F">
        <w:rPr>
          <w:rFonts w:ascii="Palatino Linotype" w:hAnsi="Palatino Linotype"/>
          <w:sz w:val="22"/>
          <w:szCs w:val="22"/>
          <w:lang w:val="en-GB"/>
        </w:rPr>
        <w:t xml:space="preserve"> Until the ABCFM missionaries printed their own translation however, their ‘English Bible’ was an Arabic version based upon the 1671 Catholic translation from the </w:t>
      </w:r>
      <w:r w:rsidRPr="00440B9F">
        <w:rPr>
          <w:rFonts w:ascii="Palatino Linotype" w:hAnsi="Palatino Linotype"/>
          <w:i/>
          <w:sz w:val="22"/>
          <w:szCs w:val="22"/>
          <w:lang w:val="en-GB"/>
        </w:rPr>
        <w:t>Vulgate</w:t>
      </w:r>
      <w:r w:rsidRPr="00440B9F">
        <w:rPr>
          <w:rFonts w:ascii="Palatino Linotype" w:hAnsi="Palatino Linotype"/>
          <w:sz w:val="22"/>
          <w:szCs w:val="22"/>
          <w:lang w:val="en-GB"/>
        </w:rPr>
        <w:t>, which was printed by the British and Foreign Bible Society.</w:t>
      </w:r>
      <w:r w:rsidRPr="00440B9F">
        <w:rPr>
          <w:rStyle w:val="FootnoteReference"/>
          <w:rFonts w:ascii="Palatino Linotype" w:hAnsi="Palatino Linotype"/>
          <w:sz w:val="22"/>
          <w:szCs w:val="22"/>
          <w:lang w:val="en-GB"/>
        </w:rPr>
        <w:footnoteReference w:id="166"/>
      </w:r>
      <w:r w:rsidRPr="00440B9F">
        <w:rPr>
          <w:rFonts w:ascii="Palatino Linotype" w:hAnsi="Palatino Linotype"/>
          <w:sz w:val="22"/>
          <w:szCs w:val="22"/>
          <w:lang w:val="en-GB"/>
        </w:rPr>
        <w:t xml:space="preserve"> Although similar to the Bible used by Latin missionaries and Christians in Syria, the omission of the Apocrypha marked this Protestant Bible as different and at times problematic for Syrians.</w:t>
      </w:r>
      <w:r w:rsidRPr="00440B9F">
        <w:rPr>
          <w:rStyle w:val="FootnoteReference"/>
          <w:rFonts w:ascii="Palatino Linotype" w:hAnsi="Palatino Linotype"/>
          <w:sz w:val="22"/>
          <w:szCs w:val="22"/>
          <w:lang w:val="en-GB"/>
        </w:rPr>
        <w:footnoteReference w:id="167"/>
      </w:r>
      <w:r w:rsidRPr="00440B9F">
        <w:rPr>
          <w:rFonts w:ascii="Palatino Linotype" w:hAnsi="Palatino Linotype"/>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Another source for the term ‘</w:t>
      </w:r>
      <w:r w:rsidRPr="00440B9F">
        <w:rPr>
          <w:rFonts w:ascii="Palatino Linotype" w:hAnsi="Palatino Linotype"/>
          <w:i/>
          <w:sz w:val="22"/>
          <w:szCs w:val="22"/>
          <w:lang w:val="en-GB"/>
        </w:rPr>
        <w:t>Biblishiyyûn</w:t>
      </w:r>
      <w:r w:rsidRPr="00440B9F">
        <w:rPr>
          <w:rFonts w:ascii="Palatino Linotype" w:hAnsi="Palatino Linotype"/>
          <w:sz w:val="22"/>
          <w:szCs w:val="22"/>
          <w:lang w:val="en-GB"/>
        </w:rPr>
        <w:t>’ and its link with both the Americans and Protestantism was the theology and religious practices of the ABCFM missionaries. A central feature of their theology was ‘the Bible alone as the rule of faith and manners’.</w:t>
      </w:r>
      <w:r w:rsidRPr="00440B9F">
        <w:rPr>
          <w:rFonts w:ascii="Palatino Linotype" w:hAnsi="Palatino Linotype"/>
          <w:sz w:val="22"/>
          <w:szCs w:val="22"/>
          <w:vertAlign w:val="superscript"/>
          <w:lang w:val="en-GB"/>
        </w:rPr>
        <w:footnoteReference w:id="168"/>
      </w:r>
      <w:r w:rsidRPr="00440B9F">
        <w:rPr>
          <w:rFonts w:ascii="Palatino Linotype" w:hAnsi="Palatino Linotype"/>
          <w:sz w:val="22"/>
          <w:szCs w:val="22"/>
          <w:lang w:val="en-GB"/>
        </w:rPr>
        <w:t xml:space="preserve"> The ABCFM missionaries argued that their emphasis on the Bible distinguished their Christianity from that practiced by Latin missionaries and ‘nominal’ Christians in Syria, whom (the ABCFM argued) followed traditions ‘not mentioned in the Scriptures’ including: </w:t>
      </w:r>
    </w:p>
    <w:p w:rsidR="00333418" w:rsidRDefault="00333418"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the infallibility of councils, image-worship and invocation of saints, transubstantiation and the sacrificial nature of the mass, auricular confession and the power of the priest to absolve from sin, and other articles of faith which are either not mentioned in the Word of God or are expressly forbidden by it.</w:t>
      </w:r>
      <w:r w:rsidRPr="00440B9F">
        <w:rPr>
          <w:rStyle w:val="FootnoteReference"/>
          <w:rFonts w:ascii="Palatino Linotype" w:hAnsi="Palatino Linotype"/>
          <w:sz w:val="22"/>
          <w:szCs w:val="22"/>
          <w:lang w:val="en-GB"/>
        </w:rPr>
        <w:footnoteReference w:id="169"/>
      </w:r>
    </w:p>
    <w:p w:rsidR="00333418" w:rsidRPr="00440B9F" w:rsidRDefault="00333418" w:rsidP="001761FF">
      <w:pPr>
        <w:pStyle w:val="BodyText"/>
        <w:ind w:left="720" w:right="720"/>
        <w:jc w:val="both"/>
        <w:rPr>
          <w:rFonts w:ascii="Palatino Linotype" w:hAnsi="Palatino Linotype"/>
          <w:sz w:val="22"/>
          <w:szCs w:val="22"/>
          <w:lang w:val="en-GB"/>
        </w:rPr>
      </w:pP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This Biblical-Protestant association thus buttressed the ABCFM missionaries’ (mis)perception that the other Christian communities in Syria dispelled or wrongly interacted with the Holy Scripture.</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As the nineteenth century unfolded however, ‘America’ developed into a more distinct option for Syrians’ social and political affiliations. As noted above, the sovereignty of the United States was emphasised through the recognition of an American Vice-Consulate at Beirut in 1834. Subsequent events, including the landing of US naval ships and the extension of diplomatic protection to all American citizens in 1842, marked the United States as a distinct player within regional politics. As a result, some Syrians pursued alliances with Americans in the hopes that they would receive American protégé status. However, these hopes were often frustrated by the limited power actually wielded by American diplomats. As explored in the previous chapter, the United State’s political pull within the Ottoman Empire was relatively weak throughout the period under review.</w:t>
      </w:r>
      <w:r w:rsidRPr="00440B9F">
        <w:rPr>
          <w:rStyle w:val="FootnoteReference"/>
          <w:rFonts w:ascii="Palatino Linotype" w:hAnsi="Palatino Linotype"/>
          <w:sz w:val="22"/>
          <w:szCs w:val="22"/>
          <w:lang w:val="en-GB"/>
        </w:rPr>
        <w:footnoteReference w:id="170"/>
      </w:r>
      <w:r w:rsidRPr="00440B9F">
        <w:rPr>
          <w:rFonts w:ascii="Palatino Linotype" w:hAnsi="Palatino Linotype"/>
          <w:sz w:val="22"/>
          <w:szCs w:val="22"/>
          <w:lang w:val="en-GB"/>
        </w:rPr>
        <w:t xml:space="preserve"> For example, Butrus al-Bustani sharply criticised the ABCFM missionaries and the United States government for not protecting his colleague, Jurgis Gemmal, the United States vice-consul in Acre, after his diplomatic position was question by the Ottoman authorities during the mid 1850s.</w:t>
      </w:r>
      <w:r w:rsidRPr="00440B9F">
        <w:rPr>
          <w:rStyle w:val="FootnoteReference"/>
          <w:rFonts w:ascii="Palatino Linotype" w:hAnsi="Palatino Linotype"/>
          <w:sz w:val="22"/>
          <w:szCs w:val="22"/>
          <w:lang w:val="en-GB"/>
        </w:rPr>
        <w:footnoteReference w:id="171"/>
      </w:r>
      <w:r w:rsidRPr="00440B9F">
        <w:rPr>
          <w:rFonts w:ascii="Palatino Linotype" w:hAnsi="Palatino Linotype"/>
          <w:sz w:val="22"/>
          <w:szCs w:val="22"/>
          <w:lang w:val="en-GB"/>
        </w:rPr>
        <w:t xml:space="preserve"> </w:t>
      </w:r>
    </w:p>
    <w:p w:rsidR="00333418" w:rsidRPr="00440B9F" w:rsidRDefault="00333418"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In contrast to these political and diplomatic frustrations, aspects of American culture were more favourably and consistently received by Syrians. Although the ABCFM missionaries repeatedly emphasised their evangelical motives, it was their work in providing formal education, language training and medicine that attracted many Syrians and which left a deep impression upon Syrian society. By the late nineteenth century, many Syrians recognised the Americans’ educational and cultural contributions to the region, more so than their religious or even political stances. The remaining chapters will delineate how this change in perceptions affected the dynamics within the Protestant Circle and were regarded as a problem for the ABCFM missionaries.</w:t>
      </w:r>
    </w:p>
    <w:p w:rsidR="00333418" w:rsidRPr="00440B9F" w:rsidRDefault="00333418" w:rsidP="001761FF">
      <w:pPr>
        <w:pStyle w:val="BodyText"/>
        <w:spacing w:line="360" w:lineRule="auto"/>
        <w:jc w:val="both"/>
        <w:rPr>
          <w:rFonts w:ascii="Palatino Linotype" w:hAnsi="Palatino Linotype"/>
          <w:sz w:val="22"/>
          <w:szCs w:val="22"/>
          <w:lang w:val="en-GB"/>
        </w:rPr>
      </w:pPr>
    </w:p>
    <w:p w:rsidR="00333418" w:rsidRPr="00440B9F" w:rsidRDefault="00333418" w:rsidP="001761FF">
      <w:pPr>
        <w:pStyle w:val="BodyText"/>
        <w:spacing w:line="360" w:lineRule="auto"/>
        <w:jc w:val="both"/>
        <w:rPr>
          <w:rFonts w:ascii="Palatino Linotype" w:hAnsi="Palatino Linotype"/>
          <w:sz w:val="22"/>
          <w:szCs w:val="22"/>
          <w:lang w:val="en-GB"/>
        </w:rPr>
        <w:sectPr w:rsidR="00333418" w:rsidRPr="00440B9F" w:rsidSect="001761FF">
          <w:footerReference w:type="default" r:id="rId8"/>
          <w:footnotePr>
            <w:numRestart w:val="eachSect"/>
          </w:footnotePr>
          <w:pgSz w:w="12240" w:h="15840"/>
          <w:pgMar w:top="1138" w:right="1418" w:bottom="2275" w:left="2275" w:header="562" w:footer="562" w:gutter="0"/>
          <w:cols w:space="720"/>
        </w:sectPr>
      </w:pPr>
      <w:r w:rsidRPr="00440B9F">
        <w:rPr>
          <w:rFonts w:ascii="Palatino Linotype" w:hAnsi="Palatino Linotype"/>
          <w:sz w:val="22"/>
          <w:szCs w:val="22"/>
          <w:lang w:val="en-GB"/>
        </w:rPr>
        <w:t xml:space="preserve">The aim of this chapter was to investigate the transformations in Ottoman Syria during the eighteenth and nineteenth centuries in order to fully contextualise the emergence of the Protestant Circle. It demonstrated that changes in political alliances, economic opportunities, personal theology, ecclesiastical identities and perceptions of foreigners altered all aspects of Syrians’ lives. Through these changes, new groups emerged, such as the ‛abidāt and the Americans, while others groups and structures were fragmented, such as the </w:t>
      </w:r>
      <w:r w:rsidRPr="00440B9F">
        <w:rPr>
          <w:rFonts w:ascii="Palatino Linotype" w:hAnsi="Palatino Linotype"/>
          <w:i/>
          <w:sz w:val="22"/>
          <w:szCs w:val="22"/>
          <w:lang w:val="en-GB"/>
        </w:rPr>
        <w:t>iqta’</w:t>
      </w:r>
      <w:r w:rsidRPr="00440B9F">
        <w:rPr>
          <w:rFonts w:ascii="Palatino Linotype" w:hAnsi="Palatino Linotype"/>
          <w:sz w:val="22"/>
          <w:szCs w:val="22"/>
          <w:lang w:val="en-GB"/>
        </w:rPr>
        <w:t xml:space="preserve"> and the </w:t>
      </w:r>
      <w:r w:rsidRPr="00440B9F">
        <w:rPr>
          <w:rFonts w:ascii="Palatino Linotype" w:hAnsi="Palatino Linotype"/>
          <w:i/>
          <w:sz w:val="22"/>
          <w:szCs w:val="22"/>
          <w:lang w:val="en-GB"/>
        </w:rPr>
        <w:t>Rum</w:t>
      </w:r>
      <w:r w:rsidRPr="00440B9F">
        <w:rPr>
          <w:rFonts w:ascii="Palatino Linotype" w:hAnsi="Palatino Linotype"/>
          <w:sz w:val="22"/>
          <w:szCs w:val="22"/>
          <w:lang w:val="en-GB"/>
        </w:rPr>
        <w:t>. Reviewing this history illuminates that the context in which the ABCFM missionaries arrived into was a dynamic environment, where Protestant culture and faith resonated with some individuals who were on their own religious and social journeys, and negotiating the different changes unfolding around them.</w:t>
      </w:r>
    </w:p>
    <w:p w:rsidR="00791241" w:rsidRPr="00FD241E" w:rsidRDefault="00791241" w:rsidP="008E04A9">
      <w:pPr>
        <w:pStyle w:val="BodyText"/>
        <w:spacing w:line="360" w:lineRule="auto"/>
        <w:jc w:val="both"/>
        <w:rPr>
          <w:rFonts w:ascii="Palatino Linotype" w:hAnsi="Palatino Linotype"/>
          <w:sz w:val="22"/>
          <w:szCs w:val="22"/>
          <w:lang w:val="en-GB"/>
        </w:rPr>
      </w:pPr>
    </w:p>
    <w:sectPr w:rsidR="00791241" w:rsidRPr="00FD241E" w:rsidSect="00FC79C9">
      <w:footerReference w:type="default" r:id="rId9"/>
      <w:pgSz w:w="12240" w:h="15840"/>
      <w:pgMar w:top="1138" w:right="1418" w:bottom="2275" w:left="2275" w:header="562" w:footer="562" w:gutter="0"/>
      <w:pgNumType w:start="69"/>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80E" w:rsidRDefault="0039180E">
      <w:r>
        <w:separator/>
      </w:r>
    </w:p>
  </w:endnote>
  <w:endnote w:type="continuationSeparator" w:id="1">
    <w:p w:rsidR="0039180E" w:rsidRDefault="003918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KoufrUni">
    <w:panose1 w:val="02000603080000020003"/>
    <w:charset w:val="00"/>
    <w:family w:val="auto"/>
    <w:pitch w:val="variable"/>
    <w:sig w:usb0="A00000FF" w:usb1="00000000" w:usb2="00000000" w:usb3="00000000" w:csb0="00000019" w:csb1="00000000"/>
  </w:font>
  <w:font w:name="JaghbUni">
    <w:panose1 w:val="02000503070000020003"/>
    <w:charset w:val="00"/>
    <w:family w:val="auto"/>
    <w:pitch w:val="variable"/>
    <w:sig w:usb0="A00000FF" w:usb1="00000000" w:usb2="00000000" w:usb3="00000000" w:csb0="0000001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3418" w:rsidRDefault="00333418">
    <w:pPr>
      <w:pStyle w:val="Footer"/>
      <w:jc w:val="right"/>
    </w:pPr>
    <w:fldSimple w:instr=" PAGE   \* MERGEFORMAT ">
      <w:r>
        <w:rPr>
          <w:noProof/>
        </w:rPr>
        <w:t>76</w:t>
      </w:r>
    </w:fldSimple>
  </w:p>
  <w:p w:rsidR="00333418" w:rsidRDefault="00333418">
    <w:pPr>
      <w:pStyle w:val="BodyText"/>
      <w:spacing w:after="28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3027" w:rsidRDefault="00CA4F9B">
    <w:pPr>
      <w:pStyle w:val="Footer"/>
      <w:jc w:val="right"/>
    </w:pPr>
    <w:fldSimple w:instr=" PAGE   \* MERGEFORMAT ">
      <w:r w:rsidR="00FC79C9">
        <w:rPr>
          <w:noProof/>
        </w:rPr>
        <w:t>72</w:t>
      </w:r>
    </w:fldSimple>
  </w:p>
  <w:p w:rsidR="00FB0C03" w:rsidRDefault="00FB0C03">
    <w:pPr>
      <w:pStyle w:val="BodyText"/>
      <w:spacing w:after="28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80E" w:rsidRDefault="0039180E">
      <w:r>
        <w:separator/>
      </w:r>
    </w:p>
  </w:footnote>
  <w:footnote w:type="continuationSeparator" w:id="1">
    <w:p w:rsidR="0039180E" w:rsidRDefault="0039180E">
      <w:r>
        <w:continuationSeparator/>
      </w:r>
    </w:p>
  </w:footnote>
  <w:footnote w:id="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Following Khater, </w:t>
      </w:r>
      <w:r>
        <w:rPr>
          <w:rFonts w:ascii="Palatino Linotype" w:hAnsi="Palatino Linotype"/>
          <w:lang w:val="en-GB"/>
        </w:rPr>
        <w:t xml:space="preserve">my use of the term </w:t>
      </w:r>
      <w:r w:rsidRPr="00F8093A">
        <w:rPr>
          <w:rFonts w:ascii="Palatino Linotype" w:hAnsi="Palatino Linotype"/>
          <w:lang w:val="en-GB"/>
        </w:rPr>
        <w:t>Mount Lebanon includes Jabal Lubnan, Jabal Kiswran and Jabal al-Shuf. Khater, ‘God has Called Me to be Free’: 440 note 16.</w:t>
      </w:r>
    </w:p>
  </w:footnote>
  <w:footnote w:id="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Ussama Makdisi, </w:t>
      </w:r>
      <w:r w:rsidRPr="00F8093A">
        <w:rPr>
          <w:rFonts w:ascii="Palatino Linotype" w:hAnsi="Palatino Linotype"/>
          <w:i/>
          <w:lang w:val="en-GB"/>
        </w:rPr>
        <w:t>The Culture of Sectarianism: Community, History, and Violence in Nineteenth-Century Ottoman Lebanon</w:t>
      </w:r>
      <w:r w:rsidRPr="00F8093A">
        <w:rPr>
          <w:rFonts w:ascii="Palatino Linotype" w:hAnsi="Palatino Linotype"/>
          <w:lang w:val="en-GB"/>
        </w:rPr>
        <w:t xml:space="preserve"> (Berkley, Los Angeles and London: University of California Press, 2000):  6-7; Zachs, </w:t>
      </w:r>
      <w:r w:rsidRPr="00F8093A">
        <w:rPr>
          <w:rFonts w:ascii="Palatino Linotype" w:hAnsi="Palatino Linotype"/>
          <w:i/>
          <w:lang w:val="en-GB"/>
        </w:rPr>
        <w:t>The Making of a Syrian Identity</w:t>
      </w:r>
      <w:r w:rsidRPr="00F8093A">
        <w:rPr>
          <w:rFonts w:ascii="Palatino Linotype" w:hAnsi="Palatino Linotype"/>
          <w:lang w:val="en-GB"/>
        </w:rPr>
        <w:t xml:space="preserve">: 2-3; Michael F. Davie, ‘La “Maison Aux Trois Arcs” Et La Construction Ideologique du Patrimont au Liban’, in: M. Davie, (ed.), </w:t>
      </w:r>
      <w:r w:rsidRPr="00F8093A">
        <w:rPr>
          <w:rFonts w:ascii="Palatino Linotype" w:hAnsi="Palatino Linotype"/>
          <w:i/>
          <w:lang w:val="en-GB"/>
        </w:rPr>
        <w:t>La Maison Beyrouthine Aux Trois Arcs: Une Archetecture Bourgeoise du Levant (</w:t>
      </w:r>
      <w:r w:rsidRPr="00F8093A">
        <w:rPr>
          <w:rFonts w:ascii="Palatino Linotype" w:hAnsi="Palatino Linotype"/>
          <w:lang w:val="en-GB"/>
        </w:rPr>
        <w:t>Beirut et Tours: ALBA, 2003): 12.</w:t>
      </w:r>
    </w:p>
  </w:footnote>
  <w:footnote w:id="4">
    <w:p w:rsidR="00333418" w:rsidRPr="00F8093A" w:rsidRDefault="00333418" w:rsidP="001761FF">
      <w:pPr>
        <w:pStyle w:val="FootnoteText"/>
        <w:ind w:left="90" w:hanging="90"/>
        <w:jc w:val="both"/>
        <w:rPr>
          <w:rFonts w:ascii="Palatino Linotype" w:hAnsi="Palatino Linotype"/>
          <w:i/>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Harik, </w:t>
      </w:r>
      <w:r w:rsidRPr="00F8093A">
        <w:rPr>
          <w:rFonts w:ascii="Palatino Linotype" w:hAnsi="Palatino Linotype"/>
          <w:i/>
          <w:lang w:val="en-GB"/>
        </w:rPr>
        <w:t>Politics and Change in a Traditional Society</w:t>
      </w:r>
      <w:r w:rsidRPr="00F8093A">
        <w:rPr>
          <w:rFonts w:ascii="Palatino Linotype" w:hAnsi="Palatino Linotype"/>
          <w:lang w:val="en-GB"/>
        </w:rPr>
        <w:t>: 37.</w:t>
      </w:r>
    </w:p>
  </w:footnote>
  <w:footnote w:id="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Samir Khalaf, </w:t>
      </w:r>
      <w:r w:rsidRPr="00F8093A">
        <w:rPr>
          <w:rFonts w:ascii="Palatino Linotype" w:hAnsi="Palatino Linotype"/>
          <w:i/>
          <w:lang w:val="en-GB"/>
        </w:rPr>
        <w:t>Civil and Uncivil Violence in Lebanon: A History of Internationalization of Communal Conflict (</w:t>
      </w:r>
      <w:r w:rsidRPr="00F8093A">
        <w:rPr>
          <w:rFonts w:ascii="Palatino Linotype" w:hAnsi="Palatino Linotype"/>
          <w:lang w:val="en-GB"/>
        </w:rPr>
        <w:t xml:space="preserve">New York: Columbia University Press, 2002): 65-67; Makdisi, </w:t>
      </w:r>
      <w:r w:rsidRPr="00F8093A">
        <w:rPr>
          <w:rFonts w:ascii="Palatino Linotype" w:hAnsi="Palatino Linotype"/>
          <w:i/>
          <w:lang w:val="en-GB"/>
        </w:rPr>
        <w:t>The Culture of Sectarianism</w:t>
      </w:r>
      <w:r w:rsidRPr="00F8093A">
        <w:rPr>
          <w:rFonts w:ascii="Palatino Linotype" w:hAnsi="Palatino Linotype"/>
          <w:lang w:val="en-GB"/>
        </w:rPr>
        <w:t xml:space="preserve">: 29; Samir Khalaf, ‘Communal Conflict in Nineteenth-Century Lebanon’, in: B. Braude and B. Lewis, (eds.), </w:t>
      </w:r>
      <w:r w:rsidRPr="00F8093A">
        <w:rPr>
          <w:rFonts w:ascii="Palatino Linotype" w:hAnsi="Palatino Linotype"/>
          <w:i/>
          <w:lang w:val="en-GB"/>
        </w:rPr>
        <w:t>Christians and Jews in the Ottoman Empire: The Functioning of a Plural Society: Volume II: The Arabic-Speaking Lands (</w:t>
      </w:r>
      <w:r w:rsidRPr="00F8093A">
        <w:rPr>
          <w:rFonts w:ascii="Palatino Linotype" w:hAnsi="Palatino Linotype"/>
          <w:lang w:val="en-GB"/>
        </w:rPr>
        <w:t xml:space="preserve">New York and London: Holmes &amp; Meier Publishers, 1982): 107; Yasar Eyup Ozveren, ‘The Making and Unmaking of an Ottoman Port-City: Nineteenth Century Beirut, its Hinterland, and the World-Economy’ (Ph.D. Thesis) (New York: State University of New York at Binghamton, 1990): 23-24; Jens Hanssen, </w:t>
      </w:r>
      <w:r w:rsidRPr="00F8093A">
        <w:rPr>
          <w:rFonts w:ascii="Palatino Linotype" w:hAnsi="Palatino Linotype"/>
          <w:i/>
          <w:lang w:val="en-GB"/>
        </w:rPr>
        <w:t>Fin de Siècle Beirut: The Making of an Ottoman Provencal Capital</w:t>
      </w:r>
      <w:r w:rsidRPr="00F8093A">
        <w:rPr>
          <w:rFonts w:ascii="Palatino Linotype" w:hAnsi="Palatino Linotype"/>
          <w:lang w:val="en-GB"/>
        </w:rPr>
        <w:t xml:space="preserve"> (Oxford: Clarendom Press, 2005): 16; Makdisi, </w:t>
      </w:r>
      <w:r w:rsidRPr="00F8093A">
        <w:rPr>
          <w:rFonts w:ascii="Palatino Linotype" w:hAnsi="Palatino Linotype"/>
          <w:i/>
          <w:lang w:val="en-GB"/>
        </w:rPr>
        <w:t>The Culture of Sectarianism</w:t>
      </w:r>
      <w:r w:rsidRPr="00F8093A">
        <w:rPr>
          <w:rFonts w:ascii="Palatino Linotype" w:hAnsi="Palatino Linotype"/>
          <w:lang w:val="en-GB"/>
        </w:rPr>
        <w:t>: 35.</w:t>
      </w:r>
    </w:p>
  </w:footnote>
  <w:footnote w:id="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Ozveren, ‘The Making and Unmaking of an Ottoman Port-City’: 23-24; Khalaf, </w:t>
      </w:r>
      <w:r w:rsidRPr="00F8093A">
        <w:rPr>
          <w:rFonts w:ascii="Palatino Linotype" w:hAnsi="Palatino Linotype"/>
          <w:i/>
          <w:lang w:val="en-GB"/>
        </w:rPr>
        <w:t>Civil and Uncivil Violence in Lebanon</w:t>
      </w:r>
      <w:r w:rsidRPr="00F8093A">
        <w:rPr>
          <w:rFonts w:ascii="Palatino Linotype" w:hAnsi="Palatino Linotype"/>
          <w:lang w:val="en-GB"/>
        </w:rPr>
        <w:t xml:space="preserve">: 64; Caesar E. Farah, </w:t>
      </w:r>
      <w:r w:rsidRPr="00F8093A">
        <w:rPr>
          <w:rFonts w:ascii="Palatino Linotype" w:hAnsi="Palatino Linotype"/>
          <w:i/>
          <w:lang w:val="en-GB"/>
        </w:rPr>
        <w:t>The Politics of Interventionalism in Ottoman Lebanon, 1830-1861</w:t>
      </w:r>
      <w:r w:rsidRPr="00F8093A">
        <w:rPr>
          <w:rFonts w:ascii="Palatino Linotype" w:hAnsi="Palatino Linotype"/>
          <w:lang w:val="en-GB"/>
        </w:rPr>
        <w:t xml:space="preserve"> (London and New York: I.B. Tauris, 2000): Annex C: 764; Harik, </w:t>
      </w:r>
      <w:r w:rsidRPr="00F8093A">
        <w:rPr>
          <w:rFonts w:ascii="Palatino Linotype" w:hAnsi="Palatino Linotype"/>
          <w:i/>
          <w:lang w:val="en-GB"/>
        </w:rPr>
        <w:t>Politics and Change in a Traditional Society</w:t>
      </w:r>
      <w:r w:rsidRPr="00F8093A">
        <w:rPr>
          <w:rFonts w:ascii="Palatino Linotype" w:hAnsi="Palatino Linotype"/>
          <w:lang w:val="en-GB"/>
        </w:rPr>
        <w:t xml:space="preserve">: 62-63; Malcolm Kerr, </w:t>
      </w:r>
      <w:r w:rsidRPr="00F8093A">
        <w:rPr>
          <w:rFonts w:ascii="Palatino Linotype" w:hAnsi="Palatino Linotype"/>
          <w:i/>
          <w:lang w:val="en-GB"/>
        </w:rPr>
        <w:t>Lebanon in the Last Years of Feudalism, 1840-1868: A Contemporary Account by Antun Dahir al-‘Aqiqi and Other Documents (</w:t>
      </w:r>
      <w:r w:rsidRPr="00F8093A">
        <w:rPr>
          <w:rFonts w:ascii="Palatino Linotype" w:hAnsi="Palatino Linotype"/>
          <w:lang w:val="en-GB"/>
        </w:rPr>
        <w:t>Beirut: American University of Beirut, Oriental Series No. 33, 1959): 3.</w:t>
      </w:r>
    </w:p>
  </w:footnote>
  <w:footnote w:id="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Zeina el-Khouri Klink, ‘Beyond the Tantur: Female Attire Traditions in 19th Century Mount Lebanon’ (Ph.D. Dissertation) (Oxford: Oxford University, 1999): 270; Harik, </w:t>
      </w:r>
      <w:r w:rsidRPr="00F8093A">
        <w:rPr>
          <w:rFonts w:ascii="Palatino Linotype" w:hAnsi="Palatino Linotype"/>
          <w:i/>
          <w:lang w:val="en-GB"/>
        </w:rPr>
        <w:t>Politics and Change in a Traditional Society</w:t>
      </w:r>
      <w:r w:rsidRPr="00F8093A">
        <w:rPr>
          <w:rFonts w:ascii="Palatino Linotype" w:hAnsi="Palatino Linotype"/>
          <w:lang w:val="en-GB"/>
        </w:rPr>
        <w:t>: 64.</w:t>
      </w:r>
    </w:p>
  </w:footnote>
  <w:footnote w:id="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Ozveren, ‘The Making and Unmaking of an Ottoman Port-City’: 33; Zachs, </w:t>
      </w:r>
      <w:r w:rsidRPr="00F8093A">
        <w:rPr>
          <w:rFonts w:ascii="Palatino Linotype" w:hAnsi="Palatino Linotype"/>
          <w:i/>
          <w:lang w:val="en-GB"/>
        </w:rPr>
        <w:t>The Making of a Syrian Identity</w:t>
      </w:r>
      <w:r w:rsidRPr="00F8093A">
        <w:rPr>
          <w:rFonts w:ascii="Palatino Linotype" w:hAnsi="Palatino Linotype"/>
          <w:lang w:val="en-GB"/>
        </w:rPr>
        <w:t xml:space="preserve">: 12. Although this does not appear to have existed upon the Lebanon, the </w:t>
      </w:r>
      <w:r w:rsidRPr="00F8093A">
        <w:rPr>
          <w:rFonts w:ascii="Palatino Linotype" w:hAnsi="Palatino Linotype"/>
          <w:i/>
          <w:lang w:val="en-GB"/>
        </w:rPr>
        <w:t>aghawat</w:t>
      </w:r>
      <w:r w:rsidRPr="00F8093A">
        <w:rPr>
          <w:rFonts w:ascii="Palatino Linotype" w:hAnsi="Palatino Linotype"/>
          <w:lang w:val="en-GB"/>
        </w:rPr>
        <w:t xml:space="preserve"> or military leaders formed a third division of the notable strata in other areas of Ottoman Syria. ‘Adel Manna‘, ‘Continuity and Change in the Socio-Political Elite in Palestine During the</w:t>
      </w:r>
      <w:r>
        <w:rPr>
          <w:rFonts w:ascii="Palatino Linotype" w:hAnsi="Palatino Linotype"/>
          <w:lang w:val="en-GB"/>
        </w:rPr>
        <w:t xml:space="preserve"> late Ottoman Period’, in: Phil</w:t>
      </w:r>
      <w:r w:rsidRPr="00F8093A">
        <w:rPr>
          <w:rFonts w:ascii="Palatino Linotype" w:hAnsi="Palatino Linotype"/>
          <w:lang w:val="en-GB"/>
        </w:rPr>
        <w:t>ipp,</w:t>
      </w:r>
      <w:r w:rsidRPr="00F8093A">
        <w:rPr>
          <w:rFonts w:ascii="Palatino Linotype" w:hAnsi="Palatino Linotype"/>
          <w:i/>
          <w:lang w:val="en-GB"/>
        </w:rPr>
        <w:t xml:space="preserve"> SL</w:t>
      </w:r>
      <w:r w:rsidRPr="00F8093A">
        <w:rPr>
          <w:rFonts w:ascii="Palatino Linotype" w:hAnsi="Palatino Linotype"/>
          <w:lang w:val="en-GB"/>
        </w:rPr>
        <w:t>: 71.</w:t>
      </w:r>
    </w:p>
  </w:footnote>
  <w:footnote w:id="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The top three families, the Shihab, Abil-lama and Arslan, were bestowed with the title of emir, followed by the single Muzhir family, who were regarded as </w:t>
      </w:r>
      <w:r w:rsidRPr="00F8093A">
        <w:rPr>
          <w:rFonts w:ascii="Palatino Linotype" w:hAnsi="Palatino Linotype"/>
          <w:i/>
          <w:lang w:val="en-GB"/>
        </w:rPr>
        <w:t>muqaddam</w:t>
      </w:r>
      <w:r w:rsidRPr="00F8093A">
        <w:rPr>
          <w:rFonts w:ascii="Palatino Linotype" w:hAnsi="Palatino Linotype"/>
          <w:lang w:val="en-GB"/>
        </w:rPr>
        <w:t xml:space="preserve">. Below these were the Druze families of Junblat, Imad, Abu Nakad, Talhaq, Abd al-Malik, and the Christian families of Khazin, Hubaysh and Dahdah, who held the title of </w:t>
      </w:r>
      <w:r w:rsidRPr="00F8093A">
        <w:rPr>
          <w:rFonts w:ascii="Palatino Linotype" w:hAnsi="Palatino Linotype"/>
          <w:i/>
          <w:lang w:val="en-GB"/>
        </w:rPr>
        <w:t xml:space="preserve">sheikh. </w:t>
      </w:r>
      <w:r w:rsidRPr="00F8093A">
        <w:rPr>
          <w:rFonts w:ascii="Palatino Linotype" w:hAnsi="Palatino Linotype"/>
          <w:lang w:val="en-GB"/>
        </w:rPr>
        <w:t xml:space="preserve">Khalaf, </w:t>
      </w:r>
      <w:r w:rsidRPr="00F8093A">
        <w:rPr>
          <w:rFonts w:ascii="Palatino Linotype" w:hAnsi="Palatino Linotype"/>
          <w:i/>
          <w:lang w:val="en-GB"/>
        </w:rPr>
        <w:t>Civil and Uncivil Violence in Lebanon</w:t>
      </w:r>
      <w:r w:rsidRPr="00F8093A">
        <w:rPr>
          <w:rFonts w:ascii="Palatino Linotype" w:hAnsi="Palatino Linotype"/>
          <w:lang w:val="en-GB"/>
        </w:rPr>
        <w:t>: 68.</w:t>
      </w:r>
      <w:r w:rsidRPr="00F8093A">
        <w:rPr>
          <w:rFonts w:ascii="Palatino Linotype" w:hAnsi="Palatino Linotype"/>
          <w:color w:val="000000"/>
          <w:sz w:val="24"/>
          <w:szCs w:val="24"/>
          <w:lang w:val="en-GB"/>
        </w:rPr>
        <w:t xml:space="preserve"> </w:t>
      </w:r>
    </w:p>
  </w:footnote>
  <w:footnote w:id="1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Albert Hourani, </w:t>
      </w:r>
      <w:r w:rsidRPr="00F8093A">
        <w:rPr>
          <w:rFonts w:ascii="Palatino Linotype" w:hAnsi="Palatino Linotype"/>
          <w:i/>
          <w:lang w:val="en-GB"/>
        </w:rPr>
        <w:t>The Emergence of the Modern Middle East</w:t>
      </w:r>
      <w:r w:rsidRPr="00F8093A">
        <w:rPr>
          <w:rFonts w:ascii="Palatino Linotype" w:hAnsi="Palatino Linotype"/>
          <w:lang w:val="en-GB"/>
        </w:rPr>
        <w:t xml:space="preserve"> (London, 1981): 130.</w:t>
      </w:r>
    </w:p>
  </w:footnote>
  <w:footnote w:id="1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Ozveren, ‘The Making and Unmaking of an Ottoman Port-City’: 24; Zachs, </w:t>
      </w:r>
      <w:r w:rsidRPr="00F8093A">
        <w:rPr>
          <w:rFonts w:ascii="Palatino Linotype" w:hAnsi="Palatino Linotype"/>
          <w:i/>
          <w:lang w:val="en-GB"/>
        </w:rPr>
        <w:t>The Making of a Syrian Identity</w:t>
      </w:r>
      <w:r w:rsidRPr="00F8093A">
        <w:rPr>
          <w:rFonts w:ascii="Palatino Linotype" w:hAnsi="Palatino Linotype"/>
          <w:lang w:val="en-GB"/>
        </w:rPr>
        <w:t>: 13 note 5</w:t>
      </w:r>
    </w:p>
  </w:footnote>
  <w:footnote w:id="1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Dick Douwes, </w:t>
      </w:r>
      <w:r w:rsidRPr="00F8093A">
        <w:rPr>
          <w:rFonts w:ascii="Palatino Linotype" w:hAnsi="Palatino Linotype"/>
          <w:i/>
          <w:lang w:val="en-GB"/>
        </w:rPr>
        <w:t>The Ottomans in Syria: A History of Justice and Oppression</w:t>
      </w:r>
      <w:r w:rsidRPr="00F8093A">
        <w:rPr>
          <w:rFonts w:ascii="Palatino Linotype" w:hAnsi="Palatino Linotype"/>
          <w:lang w:val="en-GB"/>
        </w:rPr>
        <w:t xml:space="preserve"> (London and New York: I.B. Tauris, 2000): 56-57; Thomas Philipp, ‘Highways and Sea Lands in Southwest Syria in the 18th Century’, in: T. Phillip, and B. Schaebler, (eds.), </w:t>
      </w:r>
      <w:r w:rsidRPr="00F8093A">
        <w:rPr>
          <w:rFonts w:ascii="Palatino Linotype" w:hAnsi="Palatino Linotype"/>
          <w:i/>
          <w:lang w:val="en-GB"/>
        </w:rPr>
        <w:t>The Syrian Land: Process of Integration and Fragmentation: Bilad Al-Sham From the 18th to the 20th Century</w:t>
      </w:r>
      <w:r w:rsidRPr="00F8093A">
        <w:rPr>
          <w:rFonts w:ascii="Palatino Linotype" w:hAnsi="Palatino Linotype"/>
          <w:lang w:val="en-GB"/>
        </w:rPr>
        <w:t xml:space="preserve"> (Stuttgart: Franz Steiner Verlag 1998): 4-5; Thomas Philipp, ‘Social Structure and Political Power in Acre in the 18th Century’ , in: T. Philipp, (ed.),</w:t>
      </w:r>
      <w:r w:rsidRPr="00F8093A">
        <w:rPr>
          <w:rFonts w:ascii="Palatino Linotype" w:hAnsi="Palatino Linotype"/>
          <w:i/>
          <w:lang w:val="en-GB"/>
        </w:rPr>
        <w:t>The Syrian Land in the 18th and 19th Century: The Common and the Specific in the Historical Record</w:t>
      </w:r>
      <w:r w:rsidRPr="00F8093A">
        <w:rPr>
          <w:rFonts w:ascii="Palatino Linotype" w:hAnsi="Palatino Linotype"/>
          <w:lang w:val="en-GB"/>
        </w:rPr>
        <w:t xml:space="preserve"> (Stuttgart: Franz Steiner Verlag, 1992): 91-108; Phillip K. Hitti, </w:t>
      </w:r>
      <w:r w:rsidRPr="00F8093A">
        <w:rPr>
          <w:rFonts w:ascii="Palatino Linotype" w:hAnsi="Palatino Linotype"/>
          <w:i/>
          <w:lang w:val="en-GB"/>
        </w:rPr>
        <w:t>History of the Arab: From the Earliest Times to the Present</w:t>
      </w:r>
      <w:r w:rsidRPr="00F8093A">
        <w:rPr>
          <w:rFonts w:ascii="Palatino Linotype" w:hAnsi="Palatino Linotype"/>
          <w:lang w:val="en-GB"/>
        </w:rPr>
        <w:t xml:space="preserve"> (Tenth Edition) (London: Macmillian Press, 1970): 729; Khalaf, </w:t>
      </w:r>
      <w:r w:rsidRPr="00F8093A">
        <w:rPr>
          <w:rFonts w:ascii="Palatino Linotype" w:hAnsi="Palatino Linotype"/>
          <w:i/>
          <w:lang w:val="en-GB"/>
        </w:rPr>
        <w:t>Civil and Uncivil Violence in Lebanon</w:t>
      </w:r>
      <w:r w:rsidRPr="00F8093A">
        <w:rPr>
          <w:rFonts w:ascii="Palatino Linotype" w:hAnsi="Palatino Linotype"/>
          <w:lang w:val="en-GB"/>
        </w:rPr>
        <w:t xml:space="preserve">: 71; James A. Reilly, </w:t>
      </w:r>
      <w:r w:rsidRPr="00F8093A">
        <w:rPr>
          <w:rFonts w:ascii="Palatino Linotype" w:hAnsi="Palatino Linotype"/>
          <w:i/>
          <w:lang w:val="en-GB"/>
        </w:rPr>
        <w:t>A Small Town in Syria: Ottoman Hama in the Eighteenth and Nineteenth Centuries (</w:t>
      </w:r>
      <w:r w:rsidRPr="00F8093A">
        <w:rPr>
          <w:rFonts w:ascii="Palatino Linotype" w:hAnsi="Palatino Linotype"/>
          <w:lang w:val="en-GB"/>
        </w:rPr>
        <w:t>Oxford: Peter Lang, 2002): 67.</w:t>
      </w:r>
    </w:p>
  </w:footnote>
  <w:footnote w:id="1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Axel</w:t>
      </w:r>
      <w:r w:rsidRPr="00F8093A">
        <w:rPr>
          <w:rFonts w:ascii="Palatino Linotype" w:hAnsi="Palatino Linotype"/>
          <w:sz w:val="24"/>
          <w:szCs w:val="24"/>
          <w:lang w:val="en-GB"/>
        </w:rPr>
        <w:t xml:space="preserve"> </w:t>
      </w:r>
      <w:r w:rsidRPr="00F8093A">
        <w:rPr>
          <w:rFonts w:ascii="Palatino Linotype" w:hAnsi="Palatino Linotype"/>
          <w:lang w:val="en-GB"/>
        </w:rPr>
        <w:t xml:space="preserve">Haveman, ‘The Impact of Peasant Resistance on Nineteenth-Century Mount Lebanon’, in: F. Kazemi and J. Waterbury, (eds.), </w:t>
      </w:r>
      <w:r w:rsidRPr="00F8093A">
        <w:rPr>
          <w:rFonts w:ascii="Palatino Linotype" w:hAnsi="Palatino Linotype"/>
          <w:i/>
          <w:lang w:val="en-GB"/>
        </w:rPr>
        <w:t>Peasants &amp; Politics in the Modern Middle East (</w:t>
      </w:r>
      <w:r w:rsidRPr="00F8093A">
        <w:rPr>
          <w:rFonts w:ascii="Palatino Linotype" w:hAnsi="Palatino Linotype"/>
          <w:lang w:val="en-GB"/>
        </w:rPr>
        <w:t>Miami: Florida International University Press, 1991): 89; Khalaf,</w:t>
      </w:r>
      <w:r w:rsidRPr="00F8093A">
        <w:rPr>
          <w:rFonts w:ascii="Palatino Linotype" w:hAnsi="Palatino Linotype"/>
          <w:i/>
          <w:lang w:val="en-GB"/>
        </w:rPr>
        <w:t xml:space="preserve"> Civil and Uncivil Violence in Lebanon</w:t>
      </w:r>
      <w:r w:rsidRPr="00F8093A">
        <w:rPr>
          <w:rFonts w:ascii="Palatino Linotype" w:hAnsi="Palatino Linotype"/>
          <w:lang w:val="en-GB"/>
        </w:rPr>
        <w:t>: 77.</w:t>
      </w:r>
    </w:p>
  </w:footnote>
  <w:footnote w:id="1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Haveman, ‘The Impact of Peasant Resistance on Nineteenth-Century Mount Lebanon’: 89; Khalaf,</w:t>
      </w:r>
      <w:r w:rsidRPr="00F8093A">
        <w:rPr>
          <w:rFonts w:ascii="Palatino Linotype" w:hAnsi="Palatino Linotype"/>
          <w:i/>
          <w:lang w:val="en-GB"/>
        </w:rPr>
        <w:t xml:space="preserve"> Civil and Uncivil Violence in Lebanon</w:t>
      </w:r>
      <w:r w:rsidRPr="00F8093A">
        <w:rPr>
          <w:rFonts w:ascii="Palatino Linotype" w:hAnsi="Palatino Linotype"/>
          <w:lang w:val="en-GB"/>
        </w:rPr>
        <w:t xml:space="preserve">: 71-74; Harik, </w:t>
      </w:r>
      <w:r w:rsidRPr="00F8093A">
        <w:rPr>
          <w:rFonts w:ascii="Palatino Linotype" w:hAnsi="Palatino Linotype"/>
          <w:i/>
          <w:lang w:val="en-GB"/>
        </w:rPr>
        <w:t>Politics and Change in a Traditional Society</w:t>
      </w:r>
      <w:r w:rsidRPr="00F8093A">
        <w:rPr>
          <w:rFonts w:ascii="Palatino Linotype" w:hAnsi="Palatino Linotype"/>
          <w:lang w:val="en-GB"/>
        </w:rPr>
        <w:t>: 208-222.</w:t>
      </w:r>
    </w:p>
  </w:footnote>
  <w:footnote w:id="1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Ozveren, ‘The Making and Unmaking of an Ottoman Port-City’: 32; Khalaf,</w:t>
      </w:r>
      <w:r w:rsidRPr="00F8093A">
        <w:rPr>
          <w:rFonts w:ascii="Palatino Linotype" w:hAnsi="Palatino Linotype"/>
          <w:i/>
          <w:lang w:val="en-GB"/>
        </w:rPr>
        <w:t xml:space="preserve"> Civil and Uncivil Violence in Lebanon</w:t>
      </w:r>
      <w:r w:rsidRPr="00F8093A">
        <w:rPr>
          <w:rFonts w:ascii="Palatino Linotype" w:hAnsi="Palatino Linotype"/>
          <w:lang w:val="en-GB"/>
        </w:rPr>
        <w:t>: 75.</w:t>
      </w:r>
    </w:p>
  </w:footnote>
  <w:footnote w:id="1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Khaled Fahmy, </w:t>
      </w:r>
      <w:r w:rsidRPr="00F8093A">
        <w:rPr>
          <w:rFonts w:ascii="Palatino Linotype" w:hAnsi="Palatino Linotype"/>
          <w:i/>
          <w:lang w:val="en-GB"/>
        </w:rPr>
        <w:t xml:space="preserve">All the Pasha’s Men: Mehmed Ali, His Army and the Making of Modern Egypt </w:t>
      </w:r>
      <w:r w:rsidRPr="00F8093A">
        <w:rPr>
          <w:rFonts w:ascii="Palatino Linotype" w:hAnsi="Palatino Linotype"/>
          <w:lang w:val="en-GB"/>
        </w:rPr>
        <w:t xml:space="preserve">(Cambridge: Cambridge University Press, 1997): 61-67; Farah, </w:t>
      </w:r>
      <w:r w:rsidRPr="00F8093A">
        <w:rPr>
          <w:rFonts w:ascii="Palatino Linotype" w:hAnsi="Palatino Linotype"/>
          <w:i/>
          <w:lang w:val="en-GB"/>
        </w:rPr>
        <w:t>The Politics of Interventionalism in Ottoman Lebanon</w:t>
      </w:r>
      <w:r w:rsidRPr="00F8093A">
        <w:rPr>
          <w:rFonts w:ascii="Palatino Linotype" w:hAnsi="Palatino Linotype"/>
          <w:lang w:val="en-GB"/>
        </w:rPr>
        <w:t xml:space="preserve">: 12-14; Mishaqa, </w:t>
      </w:r>
      <w:r w:rsidRPr="00F8093A">
        <w:rPr>
          <w:rFonts w:ascii="Palatino Linotype" w:hAnsi="Palatino Linotype"/>
          <w:i/>
          <w:lang w:val="en-GB"/>
        </w:rPr>
        <w:t>Murder, Mayhem, Pillage and Plunder</w:t>
      </w:r>
      <w:r w:rsidRPr="00F8093A">
        <w:rPr>
          <w:rFonts w:ascii="Palatino Linotype" w:hAnsi="Palatino Linotype"/>
          <w:lang w:val="en-GB"/>
        </w:rPr>
        <w:t>: 159-177.</w:t>
      </w:r>
    </w:p>
  </w:footnote>
  <w:footnote w:id="1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Navin Moore, ‘Letter to HM Ambassador at Constantinople’ (Beirut, 26 August 1835): [British] PRO: FO 195/127; Douwes, </w:t>
      </w:r>
      <w:r w:rsidRPr="00F8093A">
        <w:rPr>
          <w:rFonts w:ascii="Palatino Linotype" w:hAnsi="Palatino Linotype"/>
          <w:i/>
          <w:lang w:val="en-GB"/>
        </w:rPr>
        <w:t>The Ottomans in Syria</w:t>
      </w:r>
      <w:r w:rsidRPr="00F8093A">
        <w:rPr>
          <w:rFonts w:ascii="Palatino Linotype" w:hAnsi="Palatino Linotype"/>
          <w:lang w:val="en-GB"/>
        </w:rPr>
        <w:t xml:space="preserve">: 192, 204-206; Khalaf, ‘Communal Conflict in Nineteenth-Century Lebanon’: 110, 124; Khalaf, </w:t>
      </w:r>
      <w:r w:rsidRPr="00F8093A">
        <w:rPr>
          <w:rFonts w:ascii="Palatino Linotype" w:hAnsi="Palatino Linotype"/>
          <w:i/>
          <w:lang w:val="en-GB"/>
        </w:rPr>
        <w:t>Civil and Uncivil Violence in Lebanon</w:t>
      </w:r>
      <w:r w:rsidRPr="00F8093A">
        <w:rPr>
          <w:rFonts w:ascii="Palatino Linotype" w:hAnsi="Palatino Linotype"/>
          <w:lang w:val="en-GB"/>
        </w:rPr>
        <w:t>: 80, 110.</w:t>
      </w:r>
    </w:p>
  </w:footnote>
  <w:footnote w:id="1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Douwes, </w:t>
      </w:r>
      <w:r w:rsidRPr="00F8093A">
        <w:rPr>
          <w:rFonts w:ascii="Palatino Linotype" w:hAnsi="Palatino Linotype"/>
          <w:i/>
          <w:lang w:val="en-GB"/>
        </w:rPr>
        <w:t>The Ottomans in Syria</w:t>
      </w:r>
      <w:r w:rsidRPr="00F8093A">
        <w:rPr>
          <w:rFonts w:ascii="Palatino Linotype" w:hAnsi="Palatino Linotype"/>
          <w:lang w:val="en-GB"/>
        </w:rPr>
        <w:t>: 204-205.</w:t>
      </w:r>
    </w:p>
  </w:footnote>
  <w:footnote w:id="1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Pr>
          <w:rFonts w:ascii="Palatino Linotype" w:hAnsi="Palatino Linotype"/>
          <w:lang w:val="en-GB"/>
        </w:rPr>
        <w:t xml:space="preserve"> I use the term ‘class’ recognising the inadequacies of this term to describe this diverse group and the economic environment of early nineteenth century Syria. </w:t>
      </w:r>
      <w:r w:rsidRPr="00F8093A">
        <w:rPr>
          <w:rFonts w:ascii="Palatino Linotype" w:hAnsi="Palatino Linotype"/>
          <w:lang w:val="en-GB"/>
        </w:rPr>
        <w:t xml:space="preserve">Zachs, </w:t>
      </w:r>
      <w:r w:rsidRPr="00F8093A">
        <w:rPr>
          <w:rFonts w:ascii="Palatino Linotype" w:hAnsi="Palatino Linotype"/>
          <w:i/>
          <w:lang w:val="en-GB"/>
        </w:rPr>
        <w:t>The Making of a Syrian Identity</w:t>
      </w:r>
      <w:r w:rsidRPr="00F8093A">
        <w:rPr>
          <w:rFonts w:ascii="Palatino Linotype" w:hAnsi="Palatino Linotype"/>
          <w:lang w:val="en-GB"/>
        </w:rPr>
        <w:t xml:space="preserve">: 16-18, 25, 29; Churchill, </w:t>
      </w:r>
      <w:r w:rsidRPr="00F8093A">
        <w:rPr>
          <w:rFonts w:ascii="Palatino Linotype" w:hAnsi="Palatino Linotype"/>
          <w:i/>
          <w:lang w:val="en-GB"/>
        </w:rPr>
        <w:t>Mount Lebanon</w:t>
      </w:r>
      <w:r w:rsidRPr="00F8093A">
        <w:rPr>
          <w:rFonts w:ascii="Palatino Linotype" w:hAnsi="Palatino Linotype"/>
          <w:lang w:val="en-GB"/>
        </w:rPr>
        <w:t>: 116.</w:t>
      </w:r>
    </w:p>
  </w:footnote>
  <w:footnote w:id="2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Albert Hourani, </w:t>
      </w:r>
      <w:r w:rsidRPr="00F8093A">
        <w:rPr>
          <w:rFonts w:ascii="Palatino Linotype" w:hAnsi="Palatino Linotype"/>
          <w:i/>
          <w:lang w:val="en-GB"/>
        </w:rPr>
        <w:t xml:space="preserve">Minorities in the Arab World </w:t>
      </w:r>
      <w:r w:rsidRPr="00F8093A">
        <w:rPr>
          <w:rFonts w:ascii="Palatino Linotype" w:hAnsi="Palatino Linotype"/>
          <w:lang w:val="en-GB"/>
        </w:rPr>
        <w:t xml:space="preserve">(Oxford: Oxford University Press, 1947): 24-25; Leila Tarazi Fawaz, </w:t>
      </w:r>
      <w:r w:rsidRPr="00F8093A">
        <w:rPr>
          <w:rFonts w:ascii="Palatino Linotype" w:hAnsi="Palatino Linotype"/>
          <w:i/>
          <w:lang w:val="en-GB"/>
        </w:rPr>
        <w:t xml:space="preserve">Merchants and Migrants in Nineteenth-Century Beirut </w:t>
      </w:r>
      <w:r w:rsidRPr="00F8093A">
        <w:rPr>
          <w:rFonts w:ascii="Palatino Linotype" w:hAnsi="Palatino Linotype"/>
          <w:lang w:val="en-GB"/>
        </w:rPr>
        <w:t>(Cambridge, MA: Harvard University Press, 1993): 85.</w:t>
      </w:r>
    </w:p>
  </w:footnote>
  <w:footnote w:id="2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 James Quilty, ‘Bridging the Dichotomy: Socio-Economic Change and Class Consideration in Ottoman Beirut and Damascus’ (M.A. Thesis) (Burnaby, British Columbia: Simon Frasier University, 1992): 45; Fawaz, </w:t>
      </w:r>
      <w:r w:rsidRPr="00F8093A">
        <w:rPr>
          <w:rFonts w:ascii="Palatino Linotype" w:hAnsi="Palatino Linotype"/>
          <w:i/>
          <w:lang w:val="en-GB"/>
        </w:rPr>
        <w:t>Merchants and Migrants in Nineteenth-Century Beirut</w:t>
      </w:r>
      <w:r w:rsidRPr="00F8093A">
        <w:rPr>
          <w:rFonts w:ascii="Palatino Linotype" w:hAnsi="Palatino Linotype"/>
          <w:lang w:val="en-GB"/>
        </w:rPr>
        <w:t xml:space="preserve">: 67; Farah, </w:t>
      </w:r>
      <w:r w:rsidRPr="00F8093A">
        <w:rPr>
          <w:rFonts w:ascii="Palatino Linotype" w:hAnsi="Palatino Linotype"/>
          <w:i/>
          <w:lang w:val="en-GB"/>
        </w:rPr>
        <w:t>The Politics of Interventionalism</w:t>
      </w:r>
      <w:r w:rsidRPr="00F8093A">
        <w:rPr>
          <w:rFonts w:ascii="Palatino Linotype" w:hAnsi="Palatino Linotype"/>
          <w:lang w:val="en-GB"/>
        </w:rPr>
        <w:t>: 20.</w:t>
      </w:r>
    </w:p>
  </w:footnote>
  <w:footnote w:id="2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Philipp, ‘Social Structure and Political Power in Acre’: 101.</w:t>
      </w:r>
    </w:p>
  </w:footnote>
  <w:footnote w:id="2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Stanford Shaw, ‘The Nineteenth Century Ottoman Tax Reforms and Revenue System’, </w:t>
      </w:r>
      <w:r>
        <w:rPr>
          <w:rFonts w:ascii="Palatino Linotype" w:hAnsi="Palatino Linotype"/>
          <w:i/>
          <w:lang w:val="en-GB"/>
        </w:rPr>
        <w:t>IJMES</w:t>
      </w:r>
      <w:r w:rsidRPr="00F8093A">
        <w:rPr>
          <w:rFonts w:ascii="Palatino Linotype" w:hAnsi="Palatino Linotype"/>
          <w:lang w:val="en-GB"/>
        </w:rPr>
        <w:t>, 6:4 (1975): 421.</w:t>
      </w:r>
    </w:p>
  </w:footnote>
  <w:footnote w:id="24">
    <w:p w:rsidR="00333418" w:rsidRPr="00F8093A" w:rsidRDefault="00333418" w:rsidP="001761FF">
      <w:pPr>
        <w:pStyle w:val="FootnoteText"/>
        <w:ind w:left="90" w:hanging="90"/>
        <w:jc w:val="both"/>
        <w:rPr>
          <w:rFonts w:ascii="Palatino Linotype" w:hAnsi="Palatino Linotype"/>
          <w:u w:val="singl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Hooker, </w:t>
      </w:r>
      <w:r w:rsidRPr="00F8093A">
        <w:rPr>
          <w:rFonts w:ascii="Palatino Linotype" w:hAnsi="Palatino Linotype"/>
          <w:i/>
          <w:lang w:val="en-GB"/>
        </w:rPr>
        <w:t>MSLS</w:t>
      </w:r>
      <w:r w:rsidRPr="00F8093A">
        <w:rPr>
          <w:rFonts w:ascii="Palatino Linotype" w:hAnsi="Palatino Linotype"/>
          <w:lang w:val="en-GB"/>
        </w:rPr>
        <w:t>: 138, 133; Navin Moore, ‘Letters to HM Ambassador at Constantinople’ (Beirut, 25 October 1837): [British] PRO: FO 226/12.</w:t>
      </w:r>
    </w:p>
  </w:footnote>
  <w:footnote w:id="2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The Druze, like the Nusayris/Alawis and </w:t>
      </w:r>
      <w:r>
        <w:rPr>
          <w:rFonts w:ascii="Palatino Linotype" w:hAnsi="Palatino Linotype"/>
          <w:lang w:val="en-GB"/>
        </w:rPr>
        <w:t xml:space="preserve">many </w:t>
      </w:r>
      <w:r w:rsidRPr="00F8093A">
        <w:rPr>
          <w:rFonts w:ascii="Palatino Linotype" w:hAnsi="Palatino Linotype"/>
          <w:lang w:val="en-GB"/>
        </w:rPr>
        <w:t>Shi</w:t>
      </w:r>
      <w:r w:rsidRPr="000761EF">
        <w:rPr>
          <w:rFonts w:ascii="Palatino Linotype" w:hAnsi="Palatino Linotype"/>
          <w:i/>
          <w:lang w:val="en-GB"/>
        </w:rPr>
        <w:t>‛</w:t>
      </w:r>
      <w:r>
        <w:rPr>
          <w:rFonts w:ascii="Palatino Linotype" w:hAnsi="Palatino Linotype"/>
          <w:lang w:val="en-GB"/>
        </w:rPr>
        <w:t>a</w:t>
      </w:r>
      <w:r w:rsidRPr="00F8093A">
        <w:rPr>
          <w:rFonts w:ascii="Palatino Linotype" w:hAnsi="Palatino Linotype"/>
          <w:lang w:val="en-GB"/>
        </w:rPr>
        <w:t>, occupied tenuous p</w:t>
      </w:r>
      <w:r>
        <w:rPr>
          <w:rFonts w:ascii="Palatino Linotype" w:hAnsi="Palatino Linotype"/>
          <w:lang w:val="en-GB"/>
        </w:rPr>
        <w:t xml:space="preserve">ositions within Ottoman society, so that both </w:t>
      </w:r>
      <w:r w:rsidRPr="00F8093A">
        <w:rPr>
          <w:rFonts w:ascii="Palatino Linotype" w:hAnsi="Palatino Linotype"/>
          <w:lang w:val="en-GB"/>
        </w:rPr>
        <w:t xml:space="preserve">the Druze and Nusayris were granted certain legal rights, </w:t>
      </w:r>
      <w:r>
        <w:rPr>
          <w:rFonts w:ascii="Palatino Linotype" w:hAnsi="Palatino Linotype"/>
          <w:lang w:val="en-GB"/>
        </w:rPr>
        <w:t xml:space="preserve">but </w:t>
      </w:r>
      <w:r w:rsidRPr="00F8093A">
        <w:rPr>
          <w:rFonts w:ascii="Palatino Linotype" w:hAnsi="Palatino Linotype"/>
          <w:lang w:val="en-GB"/>
        </w:rPr>
        <w:t>were exe</w:t>
      </w:r>
      <w:r>
        <w:rPr>
          <w:rFonts w:ascii="Palatino Linotype" w:hAnsi="Palatino Linotype"/>
          <w:lang w:val="en-GB"/>
        </w:rPr>
        <w:t>m</w:t>
      </w:r>
      <w:r w:rsidRPr="00F8093A">
        <w:rPr>
          <w:rFonts w:ascii="Palatino Linotype" w:hAnsi="Palatino Linotype"/>
          <w:lang w:val="en-GB"/>
        </w:rPr>
        <w:t xml:space="preserve">pt from military services. Douwes, </w:t>
      </w:r>
      <w:r w:rsidRPr="00F8093A">
        <w:rPr>
          <w:rFonts w:ascii="Palatino Linotype" w:hAnsi="Palatino Linotype"/>
          <w:i/>
          <w:lang w:val="en-GB"/>
        </w:rPr>
        <w:t>The Ottomans in Syria</w:t>
      </w:r>
      <w:r w:rsidRPr="00F8093A">
        <w:rPr>
          <w:rFonts w:ascii="Palatino Linotype" w:hAnsi="Palatino Linotype"/>
          <w:lang w:val="en-GB"/>
        </w:rPr>
        <w:t xml:space="preserve">: 80; Reilly, </w:t>
      </w:r>
      <w:r w:rsidRPr="00F8093A">
        <w:rPr>
          <w:rFonts w:ascii="Palatino Linotype" w:hAnsi="Palatino Linotype"/>
          <w:i/>
          <w:lang w:val="en-GB"/>
        </w:rPr>
        <w:t>A Small Town in Syria</w:t>
      </w:r>
      <w:r w:rsidRPr="00F8093A">
        <w:rPr>
          <w:rFonts w:ascii="Palatino Linotype" w:hAnsi="Palatino Linotype"/>
          <w:lang w:val="en-GB"/>
        </w:rPr>
        <w:t>: 114-115. Although numbers are difficult to ascertain, some figures suggest that</w:t>
      </w:r>
      <w:r>
        <w:rPr>
          <w:rFonts w:ascii="Palatino Linotype" w:hAnsi="Palatino Linotype"/>
          <w:lang w:val="en-GB"/>
        </w:rPr>
        <w:t xml:space="preserve"> in 1846</w:t>
      </w:r>
      <w:r w:rsidRPr="00F8093A">
        <w:rPr>
          <w:rFonts w:ascii="Palatino Linotype" w:hAnsi="Palatino Linotype"/>
          <w:lang w:val="en-GB"/>
        </w:rPr>
        <w:t xml:space="preserve"> the </w:t>
      </w:r>
      <w:r>
        <w:rPr>
          <w:rFonts w:ascii="Palatino Linotype" w:hAnsi="Palatino Linotype"/>
          <w:lang w:val="en-GB"/>
        </w:rPr>
        <w:t xml:space="preserve">Maronites represented sixty-two percent of the population on Mount Lebanon; Greek Orthodox at eight percent; Greek Catholic at twelve percent; </w:t>
      </w:r>
      <w:r w:rsidRPr="00F8093A">
        <w:rPr>
          <w:rFonts w:ascii="Palatino Linotype" w:hAnsi="Palatino Linotype"/>
          <w:lang w:val="en-GB"/>
        </w:rPr>
        <w:t xml:space="preserve">Druze </w:t>
      </w:r>
      <w:r>
        <w:rPr>
          <w:rFonts w:ascii="Palatino Linotype" w:hAnsi="Palatino Linotype"/>
          <w:lang w:val="en-GB"/>
        </w:rPr>
        <w:t xml:space="preserve">at </w:t>
      </w:r>
      <w:r w:rsidRPr="00F8093A">
        <w:rPr>
          <w:rFonts w:ascii="Palatino Linotype" w:hAnsi="Palatino Linotype"/>
          <w:lang w:val="en-GB"/>
        </w:rPr>
        <w:t>ten percent</w:t>
      </w:r>
      <w:r>
        <w:rPr>
          <w:rFonts w:ascii="Palatino Linotype" w:hAnsi="Palatino Linotype"/>
          <w:lang w:val="en-GB"/>
        </w:rPr>
        <w:t>; and both Sunni and Shi</w:t>
      </w:r>
      <w:r w:rsidRPr="000761EF">
        <w:rPr>
          <w:rFonts w:ascii="Palatino Linotype" w:hAnsi="Palatino Linotype"/>
          <w:i/>
          <w:lang w:val="en-GB"/>
        </w:rPr>
        <w:t>‛</w:t>
      </w:r>
      <w:r>
        <w:rPr>
          <w:rFonts w:ascii="Palatino Linotype" w:hAnsi="Palatino Linotype"/>
          <w:lang w:val="en-GB"/>
        </w:rPr>
        <w:t>a at three percent</w:t>
      </w:r>
      <w:r w:rsidRPr="00F8093A">
        <w:rPr>
          <w:rFonts w:ascii="Palatino Linotype" w:hAnsi="Palatino Linotype"/>
          <w:lang w:val="en-GB"/>
        </w:rPr>
        <w:t xml:space="preserve">. J.M. Wagstaff, ‘A Note on Some Nineteenth-Century Population Statistics for Lebanon’, </w:t>
      </w:r>
      <w:r w:rsidRPr="00F8093A">
        <w:rPr>
          <w:rFonts w:ascii="Palatino Linotype" w:hAnsi="Palatino Linotype"/>
          <w:i/>
          <w:lang w:val="en-GB"/>
        </w:rPr>
        <w:t>Bulletin of the British Society for Middle Eastern Studies</w:t>
      </w:r>
      <w:r w:rsidRPr="00F8093A">
        <w:rPr>
          <w:rFonts w:ascii="Palatino Linotype" w:hAnsi="Palatino Linotype"/>
          <w:lang w:val="en-GB"/>
        </w:rPr>
        <w:t>, 13:1 (1986): 32.</w:t>
      </w:r>
    </w:p>
  </w:footnote>
  <w:footnote w:id="2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Churchill, </w:t>
      </w:r>
      <w:r w:rsidRPr="00F8093A">
        <w:rPr>
          <w:rFonts w:ascii="Palatino Linotype" w:hAnsi="Palatino Linotype"/>
          <w:i/>
          <w:lang w:val="en-GB"/>
        </w:rPr>
        <w:t>Mount Lebanon</w:t>
      </w:r>
      <w:r w:rsidRPr="00F8093A">
        <w:rPr>
          <w:rFonts w:ascii="Palatino Linotype" w:hAnsi="Palatino Linotype"/>
          <w:lang w:val="en-GB"/>
        </w:rPr>
        <w:t xml:space="preserve">: 270; ABCFM, </w:t>
      </w:r>
      <w:r w:rsidRPr="00F8093A">
        <w:rPr>
          <w:rFonts w:ascii="Palatino Linotype" w:hAnsi="Palatino Linotype"/>
          <w:i/>
          <w:lang w:val="en-GB"/>
        </w:rPr>
        <w:t>Annual Report</w:t>
      </w:r>
      <w:r w:rsidRPr="00F8093A">
        <w:rPr>
          <w:rFonts w:ascii="Palatino Linotype" w:hAnsi="Palatino Linotype"/>
          <w:lang w:val="en-GB"/>
        </w:rPr>
        <w:t xml:space="preserve"> (Beirut, 1835).</w:t>
      </w:r>
    </w:p>
  </w:footnote>
  <w:footnote w:id="2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Khalaf, </w:t>
      </w:r>
      <w:r w:rsidRPr="00F8093A">
        <w:rPr>
          <w:rFonts w:ascii="Palatino Linotype" w:hAnsi="Palatino Linotype"/>
          <w:i/>
          <w:lang w:val="en-GB"/>
        </w:rPr>
        <w:t>Civil and Uncivil Violence in Lebanon</w:t>
      </w:r>
      <w:r w:rsidRPr="00F8093A">
        <w:rPr>
          <w:rFonts w:ascii="Palatino Linotype" w:hAnsi="Palatino Linotype"/>
          <w:lang w:val="en-GB"/>
        </w:rPr>
        <w:t>: 80-82.</w:t>
      </w:r>
    </w:p>
  </w:footnote>
  <w:footnote w:id="2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Farah, </w:t>
      </w:r>
      <w:r w:rsidRPr="00F8093A">
        <w:rPr>
          <w:rFonts w:ascii="Palatino Linotype" w:hAnsi="Palatino Linotype"/>
          <w:i/>
          <w:lang w:val="en-GB"/>
        </w:rPr>
        <w:t>The Politics of Interventionalism</w:t>
      </w:r>
      <w:r w:rsidRPr="00F8093A">
        <w:rPr>
          <w:rFonts w:ascii="Palatino Linotype" w:hAnsi="Palatino Linotype"/>
          <w:lang w:val="en-GB"/>
        </w:rPr>
        <w:t xml:space="preserve">: 22; Mishaqa, </w:t>
      </w:r>
      <w:r w:rsidRPr="00F8093A">
        <w:rPr>
          <w:rFonts w:ascii="Palatino Linotype" w:hAnsi="Palatino Linotype"/>
          <w:i/>
          <w:lang w:val="en-GB"/>
        </w:rPr>
        <w:t>Murder, Mayhem, Pillage and Plunder</w:t>
      </w:r>
      <w:r w:rsidRPr="00F8093A">
        <w:rPr>
          <w:rFonts w:ascii="Palatino Linotype" w:hAnsi="Palatino Linotype"/>
          <w:lang w:val="en-GB"/>
        </w:rPr>
        <w:t>: 179-180.</w:t>
      </w:r>
    </w:p>
  </w:footnote>
  <w:footnote w:id="2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Navin Moore, ‘Letter to Lord Ponsonby’ (Beirut, 11 January 1838): [British] PRO: FO 195/127; Farah, </w:t>
      </w:r>
      <w:r w:rsidRPr="00F8093A">
        <w:rPr>
          <w:rFonts w:ascii="Palatino Linotype" w:hAnsi="Palatino Linotype"/>
          <w:i/>
          <w:lang w:val="en-GB"/>
        </w:rPr>
        <w:t>The Politics of Interventionalism</w:t>
      </w:r>
      <w:r w:rsidRPr="00F8093A">
        <w:rPr>
          <w:rFonts w:ascii="Palatino Linotype" w:hAnsi="Palatino Linotype"/>
          <w:lang w:val="en-GB"/>
        </w:rPr>
        <w:t xml:space="preserve">: 22; Mishaqa, </w:t>
      </w:r>
      <w:r w:rsidRPr="00F8093A">
        <w:rPr>
          <w:rFonts w:ascii="Palatino Linotype" w:hAnsi="Palatino Linotype"/>
          <w:i/>
          <w:lang w:val="en-GB"/>
        </w:rPr>
        <w:t>Murder, Mayhem, Pillage and Plunder</w:t>
      </w:r>
      <w:r w:rsidRPr="00F8093A">
        <w:rPr>
          <w:rFonts w:ascii="Palatino Linotype" w:hAnsi="Palatino Linotype"/>
          <w:lang w:val="en-GB"/>
        </w:rPr>
        <w:t>: 181-187.</w:t>
      </w:r>
    </w:p>
  </w:footnote>
  <w:footnote w:id="3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Makdisi, </w:t>
      </w:r>
      <w:r w:rsidRPr="00F8093A">
        <w:rPr>
          <w:rFonts w:ascii="Palatino Linotype" w:hAnsi="Palatino Linotype"/>
          <w:i/>
          <w:lang w:val="en-GB"/>
        </w:rPr>
        <w:t>The Culture of Sectarianism</w:t>
      </w:r>
      <w:r w:rsidRPr="00F8093A">
        <w:rPr>
          <w:rFonts w:ascii="Palatino Linotype" w:hAnsi="Palatino Linotype"/>
          <w:lang w:val="en-GB"/>
        </w:rPr>
        <w:t>: 55-58.</w:t>
      </w:r>
    </w:p>
  </w:footnote>
  <w:footnote w:id="3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Khalaf, </w:t>
      </w:r>
      <w:r w:rsidRPr="00F8093A">
        <w:rPr>
          <w:rFonts w:ascii="Palatino Linotype" w:hAnsi="Palatino Linotype"/>
          <w:i/>
          <w:lang w:val="en-GB"/>
        </w:rPr>
        <w:t>Civil and Uncivil Violence in Lebanon</w:t>
      </w:r>
      <w:r w:rsidRPr="00F8093A">
        <w:rPr>
          <w:rFonts w:ascii="Palatino Linotype" w:hAnsi="Palatino Linotype"/>
          <w:lang w:val="en-GB"/>
        </w:rPr>
        <w:t xml:space="preserve">: 83; Makdisi, </w:t>
      </w:r>
      <w:r w:rsidRPr="00F8093A">
        <w:rPr>
          <w:rFonts w:ascii="Palatino Linotype" w:hAnsi="Palatino Linotype"/>
          <w:i/>
          <w:lang w:val="en-GB"/>
        </w:rPr>
        <w:t>The Culture of Sectarianism</w:t>
      </w:r>
      <w:r w:rsidRPr="00F8093A">
        <w:rPr>
          <w:rFonts w:ascii="Palatino Linotype" w:hAnsi="Palatino Linotype"/>
          <w:lang w:val="en-GB"/>
        </w:rPr>
        <w:t>: 58.</w:t>
      </w:r>
    </w:p>
  </w:footnote>
  <w:footnote w:id="3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Haveman, ‘The Impact of Peasant Resistance on Nineteenth-Century Mount Lebanon’: 90; Farah, </w:t>
      </w:r>
      <w:r w:rsidRPr="00F8093A">
        <w:rPr>
          <w:rFonts w:ascii="Palatino Linotype" w:hAnsi="Palatino Linotype"/>
          <w:i/>
          <w:lang w:val="en-GB"/>
        </w:rPr>
        <w:t>The Politics of Interventionalism</w:t>
      </w:r>
      <w:r w:rsidRPr="00F8093A">
        <w:rPr>
          <w:rFonts w:ascii="Palatino Linotype" w:hAnsi="Palatino Linotype"/>
          <w:lang w:val="en-GB"/>
        </w:rPr>
        <w:t xml:space="preserve">: 35; Mishaqa, </w:t>
      </w:r>
      <w:r w:rsidRPr="00F8093A">
        <w:rPr>
          <w:rFonts w:ascii="Palatino Linotype" w:hAnsi="Palatino Linotype"/>
          <w:i/>
          <w:lang w:val="en-GB"/>
        </w:rPr>
        <w:t>Murder, Mayhem, Pillage and Plunder</w:t>
      </w:r>
      <w:r w:rsidRPr="00F8093A">
        <w:rPr>
          <w:rFonts w:ascii="Palatino Linotype" w:hAnsi="Palatino Linotype"/>
          <w:lang w:val="en-GB"/>
        </w:rPr>
        <w:t>: 211.</w:t>
      </w:r>
    </w:p>
  </w:footnote>
  <w:footnote w:id="3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Farah, </w:t>
      </w:r>
      <w:r w:rsidRPr="00F8093A">
        <w:rPr>
          <w:rFonts w:ascii="Palatino Linotype" w:hAnsi="Palatino Linotype"/>
          <w:i/>
          <w:lang w:val="en-GB"/>
        </w:rPr>
        <w:t>The Politics of Interventionalism</w:t>
      </w:r>
      <w:r w:rsidRPr="00F8093A">
        <w:rPr>
          <w:rFonts w:ascii="Palatino Linotype" w:hAnsi="Palatino Linotype"/>
          <w:lang w:val="en-GB"/>
        </w:rPr>
        <w:t>: 37.</w:t>
      </w:r>
    </w:p>
  </w:footnote>
  <w:footnote w:id="3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Khalaf </w:t>
      </w:r>
      <w:r w:rsidRPr="00F8093A">
        <w:rPr>
          <w:rFonts w:ascii="Palatino Linotype" w:hAnsi="Palatino Linotype"/>
          <w:i/>
          <w:lang w:val="en-GB"/>
        </w:rPr>
        <w:t>Civil and Uncivil Violence in Lebanon</w:t>
      </w:r>
      <w:r w:rsidRPr="00F8093A">
        <w:rPr>
          <w:rFonts w:ascii="Palatino Linotype" w:hAnsi="Palatino Linotype"/>
          <w:lang w:val="en-GB"/>
        </w:rPr>
        <w:t xml:space="preserve">: 84; Farah, </w:t>
      </w:r>
      <w:r w:rsidRPr="00F8093A">
        <w:rPr>
          <w:rFonts w:ascii="Palatino Linotype" w:hAnsi="Palatino Linotype"/>
          <w:i/>
          <w:lang w:val="en-GB"/>
        </w:rPr>
        <w:t>The Politics of Interventionalism</w:t>
      </w:r>
      <w:r w:rsidRPr="00F8093A">
        <w:rPr>
          <w:rFonts w:ascii="Palatino Linotype" w:hAnsi="Palatino Linotype"/>
          <w:lang w:val="en-GB"/>
        </w:rPr>
        <w:t xml:space="preserve">:  37; Fawaz, </w:t>
      </w:r>
      <w:r w:rsidRPr="00F8093A">
        <w:rPr>
          <w:rFonts w:ascii="Palatino Linotype" w:hAnsi="Palatino Linotype"/>
          <w:i/>
          <w:lang w:val="en-GB"/>
        </w:rPr>
        <w:t>Merchants and Migrants</w:t>
      </w:r>
      <w:r w:rsidRPr="00F8093A">
        <w:rPr>
          <w:rFonts w:ascii="Palatino Linotype" w:hAnsi="Palatino Linotype"/>
          <w:lang w:val="en-GB"/>
        </w:rPr>
        <w:t>: 62.</w:t>
      </w:r>
    </w:p>
  </w:footnote>
  <w:footnote w:id="3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Mishaqa, </w:t>
      </w:r>
      <w:r w:rsidRPr="00F8093A">
        <w:rPr>
          <w:rFonts w:ascii="Palatino Linotype" w:hAnsi="Palatino Linotype"/>
          <w:i/>
          <w:lang w:val="en-GB"/>
        </w:rPr>
        <w:t>Murder, Mayhem, Pillage and Plunder</w:t>
      </w:r>
      <w:r w:rsidRPr="00F8093A">
        <w:rPr>
          <w:rFonts w:ascii="Palatino Linotype" w:hAnsi="Palatino Linotype"/>
          <w:lang w:val="en-GB"/>
        </w:rPr>
        <w:t xml:space="preserve">: 212; Farah, </w:t>
      </w:r>
      <w:r w:rsidRPr="00F8093A">
        <w:rPr>
          <w:rFonts w:ascii="Palatino Linotype" w:hAnsi="Palatino Linotype"/>
          <w:i/>
          <w:lang w:val="en-GB"/>
        </w:rPr>
        <w:t>The Politics of Interventionalism</w:t>
      </w:r>
      <w:r w:rsidRPr="00F8093A">
        <w:rPr>
          <w:rFonts w:ascii="Palatino Linotype" w:hAnsi="Palatino Linotype"/>
          <w:lang w:val="en-GB"/>
        </w:rPr>
        <w:t>: 37.</w:t>
      </w:r>
      <w:r w:rsidRPr="00753593">
        <w:rPr>
          <w:rFonts w:ascii="Palatino Linotype" w:hAnsi="Palatino Linotype"/>
          <w:sz w:val="24"/>
          <w:szCs w:val="24"/>
          <w:lang w:val="en-GB"/>
        </w:rPr>
        <w:t xml:space="preserve"> </w:t>
      </w:r>
      <w:r w:rsidRPr="00753593">
        <w:rPr>
          <w:rFonts w:ascii="Palatino Linotype" w:hAnsi="Palatino Linotype"/>
          <w:lang w:val="en-GB"/>
        </w:rPr>
        <w:t>The American missionaries received prior warning about the bombardment and had temporarily fled the city for Cyprus. Badr, ‘Missions to “Nominal Christians”’: 174.</w:t>
      </w:r>
    </w:p>
  </w:footnote>
  <w:footnote w:id="3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Douwes, </w:t>
      </w:r>
      <w:r w:rsidRPr="00F8093A">
        <w:rPr>
          <w:rFonts w:ascii="Palatino Linotype" w:hAnsi="Palatino Linotype"/>
          <w:i/>
          <w:lang w:val="en-GB"/>
        </w:rPr>
        <w:t>The Ottomans in Syria</w:t>
      </w:r>
      <w:r w:rsidRPr="00F8093A">
        <w:rPr>
          <w:rFonts w:ascii="Palatino Linotype" w:hAnsi="Palatino Linotype"/>
          <w:lang w:val="en-GB"/>
        </w:rPr>
        <w:t>: 60.</w:t>
      </w:r>
    </w:p>
  </w:footnote>
  <w:footnote w:id="3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Donald Quataert, ‘Clothing Laws, State, and Society in the Ottoman Empire, 1720-1829’, </w:t>
      </w:r>
      <w:r w:rsidRPr="00F8093A">
        <w:rPr>
          <w:rFonts w:ascii="Palatino Linotype" w:hAnsi="Palatino Linotype"/>
          <w:i/>
          <w:lang w:val="en-GB"/>
        </w:rPr>
        <w:t>IJMES</w:t>
      </w:r>
      <w:r w:rsidRPr="00F8093A">
        <w:rPr>
          <w:rFonts w:ascii="Palatino Linotype" w:hAnsi="Palatino Linotype"/>
          <w:lang w:val="en-GB"/>
        </w:rPr>
        <w:t xml:space="preserve">, 29:3 (1997): 413. Also see Astrid Meier, ‘Waqf Only in Name, Not in Essence: Early Tanzimat Waqf Reforms in the Province of Damascus’, in: J. Hanssen, T. Philipp and S. Weber, (eds.), </w:t>
      </w:r>
      <w:r w:rsidRPr="00F8093A">
        <w:rPr>
          <w:rFonts w:ascii="Palatino Linotype" w:hAnsi="Palatino Linotype"/>
          <w:i/>
          <w:lang w:val="en-GB"/>
        </w:rPr>
        <w:t>The Empire and the City: Arab Provincial Capitals in the Late Ottoman Empire</w:t>
      </w:r>
      <w:r w:rsidRPr="00F8093A">
        <w:rPr>
          <w:rFonts w:ascii="Palatino Linotype" w:hAnsi="Palatino Linotype"/>
          <w:lang w:val="en-GB"/>
        </w:rPr>
        <w:t xml:space="preserve"> (Beirut: Ergon Verlag Würzburg in Kommission, 2002): 201-218.</w:t>
      </w:r>
    </w:p>
  </w:footnote>
  <w:footnote w:id="3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Jens Hanssen, ‘Practices of Integration-Centre-Periphery Relations in the Ottoman Empire’, in: J. Hanssen, T. Philipp and S. Weber, (eds.), </w:t>
      </w:r>
      <w:r w:rsidRPr="00F8093A">
        <w:rPr>
          <w:rFonts w:ascii="Palatino Linotype" w:hAnsi="Palatino Linotype"/>
          <w:i/>
          <w:lang w:val="en-GB"/>
        </w:rPr>
        <w:t>The Empire and the City: Arab Provincial Capitals in the Late Ottoman Empire</w:t>
      </w:r>
      <w:r w:rsidRPr="00F8093A">
        <w:rPr>
          <w:rFonts w:ascii="Palatino Linotype" w:hAnsi="Palatino Linotype"/>
          <w:lang w:val="en-GB"/>
        </w:rPr>
        <w:t xml:space="preserve"> (Beirut: Ergon Verlag Würzburg in Kommission, 2002): 50-51; Albert Hourani, </w:t>
      </w:r>
      <w:r w:rsidRPr="00F8093A">
        <w:rPr>
          <w:rFonts w:ascii="Palatino Linotype" w:hAnsi="Palatino Linotype"/>
          <w:i/>
          <w:lang w:val="en-GB"/>
        </w:rPr>
        <w:t>Arabic Thought in the Liberal Age: 1789-1939</w:t>
      </w:r>
      <w:r w:rsidRPr="00F8093A">
        <w:rPr>
          <w:rFonts w:ascii="Palatino Linotype" w:hAnsi="Palatino Linotype"/>
          <w:lang w:val="en-GB"/>
        </w:rPr>
        <w:t xml:space="preserve"> (Oxford: Oxford University Press, 1970): 46; Selim Deringil, </w:t>
      </w:r>
      <w:r w:rsidRPr="00F8093A">
        <w:rPr>
          <w:rFonts w:ascii="Palatino Linotype" w:hAnsi="Palatino Linotype"/>
          <w:i/>
          <w:lang w:val="en-GB"/>
        </w:rPr>
        <w:t>The Well-Protected Domains: Ideology and the Legitimation of Power in the Ottoman Empire 1876-1909</w:t>
      </w:r>
      <w:r w:rsidRPr="00F8093A">
        <w:rPr>
          <w:rFonts w:ascii="Palatino Linotype" w:hAnsi="Palatino Linotype"/>
          <w:lang w:val="en-GB"/>
        </w:rPr>
        <w:t xml:space="preserve"> (London and New York: I.B. Tauris, 1998): 9-10; Moshe Ma‘oz, </w:t>
      </w:r>
      <w:r w:rsidRPr="00F8093A">
        <w:rPr>
          <w:rFonts w:ascii="Palatino Linotype" w:hAnsi="Palatino Linotype"/>
          <w:i/>
          <w:lang w:val="en-GB"/>
        </w:rPr>
        <w:t xml:space="preserve">Ottoman Reform in Syria and Palestine 1840-1861: The Impact of the Tanzimat on Politics and Society </w:t>
      </w:r>
      <w:r w:rsidRPr="00F8093A">
        <w:rPr>
          <w:rFonts w:ascii="Palatino Linotype" w:hAnsi="Palatino Linotype"/>
          <w:lang w:val="en-GB"/>
        </w:rPr>
        <w:t xml:space="preserve">(Oxford: Clarendon Press, 1968): 30; Ussama Makdisi, ‘Rethinking Ottoman Imperialism: Modernity, Violence and the Cultural Logic of Ottoman Reform’, in: J. Hanssen, T. Philipp and S. Weber, (eds.), </w:t>
      </w:r>
      <w:r w:rsidRPr="00F8093A">
        <w:rPr>
          <w:rFonts w:ascii="Palatino Linotype" w:hAnsi="Palatino Linotype"/>
          <w:i/>
          <w:lang w:val="en-GB"/>
        </w:rPr>
        <w:t>The Empire in the City: Arab Provincial Capitals in the Late Ottoman Empire</w:t>
      </w:r>
      <w:r w:rsidRPr="00F8093A">
        <w:rPr>
          <w:rFonts w:ascii="Palatino Linotype" w:hAnsi="Palatino Linotype"/>
          <w:lang w:val="en-GB"/>
        </w:rPr>
        <w:t xml:space="preserve"> (Beirut: Ergon Verlag Würzburg in Kommission, 2002): 29-39.</w:t>
      </w:r>
    </w:p>
  </w:footnote>
  <w:footnote w:id="3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Hanssen, ‘Practices of Integration-Centre-Periphery Relations’: 56.</w:t>
      </w:r>
    </w:p>
  </w:footnote>
  <w:footnote w:id="4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Hanssen, ‘Practices of Integration-Centre-Periphery Relations’: 58-59.</w:t>
      </w:r>
    </w:p>
  </w:footnote>
  <w:footnote w:id="4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Farah, </w:t>
      </w:r>
      <w:r w:rsidRPr="00F8093A">
        <w:rPr>
          <w:rFonts w:ascii="Palatino Linotype" w:hAnsi="Palatino Linotype"/>
          <w:i/>
          <w:lang w:val="en-GB"/>
        </w:rPr>
        <w:t>The Politics of Interventionalism</w:t>
      </w:r>
      <w:r w:rsidRPr="00F8093A">
        <w:rPr>
          <w:rFonts w:ascii="Palatino Linotype" w:hAnsi="Palatino Linotype"/>
          <w:lang w:val="en-GB"/>
        </w:rPr>
        <w:t>: 55.</w:t>
      </w:r>
    </w:p>
  </w:footnote>
  <w:footnote w:id="4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Farah, </w:t>
      </w:r>
      <w:r w:rsidRPr="00F8093A">
        <w:rPr>
          <w:rFonts w:ascii="Palatino Linotype" w:hAnsi="Palatino Linotype"/>
          <w:i/>
          <w:lang w:val="en-GB"/>
        </w:rPr>
        <w:t>The Politics of Interventionalism</w:t>
      </w:r>
      <w:r w:rsidRPr="00F8093A">
        <w:rPr>
          <w:rFonts w:ascii="Palatino Linotype" w:hAnsi="Palatino Linotype"/>
          <w:lang w:val="en-GB"/>
        </w:rPr>
        <w:t>: 256.</w:t>
      </w:r>
    </w:p>
  </w:footnote>
  <w:footnote w:id="43">
    <w:p w:rsidR="00333418" w:rsidRPr="00593890" w:rsidRDefault="00333418" w:rsidP="001761FF">
      <w:pPr>
        <w:pStyle w:val="FootnoteText"/>
        <w:ind w:left="90" w:hanging="90"/>
        <w:jc w:val="both"/>
        <w:rPr>
          <w:rFonts w:ascii="Palatino Linotype" w:hAnsi="Palatino Linotype"/>
          <w:lang w:val="en-GB"/>
        </w:rPr>
      </w:pPr>
      <w:r w:rsidRPr="00593890">
        <w:rPr>
          <w:rStyle w:val="FootnoteReference"/>
          <w:rFonts w:ascii="Palatino Linotype" w:hAnsi="Palatino Linotype"/>
          <w:lang w:val="en-GB"/>
        </w:rPr>
        <w:footnoteRef/>
      </w:r>
      <w:r w:rsidRPr="00593890">
        <w:rPr>
          <w:rFonts w:ascii="Palatino Linotype" w:hAnsi="Palatino Linotype"/>
          <w:lang w:val="en-GB"/>
        </w:rPr>
        <w:t xml:space="preserve"> Farah, </w:t>
      </w:r>
      <w:r w:rsidRPr="00593890">
        <w:rPr>
          <w:rFonts w:ascii="Palatino Linotype" w:hAnsi="Palatino Linotype"/>
          <w:i/>
          <w:lang w:val="en-GB"/>
        </w:rPr>
        <w:t>The Politics of Interventionalism</w:t>
      </w:r>
      <w:r w:rsidRPr="00593890">
        <w:rPr>
          <w:rFonts w:ascii="Palatino Linotype" w:hAnsi="Palatino Linotype"/>
          <w:lang w:val="en-GB"/>
        </w:rPr>
        <w:t>: 256; Ozveren, ‘The Making and Unmaking of an Ottoman Port-City’: 52-53.</w:t>
      </w:r>
    </w:p>
  </w:footnote>
  <w:footnote w:id="44">
    <w:p w:rsidR="00333418" w:rsidRDefault="00333418" w:rsidP="001761FF">
      <w:pPr>
        <w:pStyle w:val="FootnoteText"/>
        <w:ind w:left="90" w:hanging="90"/>
        <w:jc w:val="both"/>
      </w:pPr>
      <w:r w:rsidRPr="00593890">
        <w:rPr>
          <w:rStyle w:val="FootnoteReference"/>
          <w:rFonts w:ascii="Palatino Linotype" w:hAnsi="Palatino Linotype"/>
        </w:rPr>
        <w:footnoteRef/>
      </w:r>
      <w:r w:rsidRPr="00593890">
        <w:rPr>
          <w:rFonts w:ascii="Palatino Linotype" w:hAnsi="Palatino Linotype"/>
        </w:rPr>
        <w:t xml:space="preserve"> Reliable population statistics for Mount Lebanon and Beirut during this period are difficult to ascertain, for the numbers given by the Ottoman Government in their 1828 and 1831 census do not agree with the estimates made by foreign residents and consular agents (which, Wagstaff argues, was </w:t>
      </w:r>
      <w:r>
        <w:rPr>
          <w:rFonts w:ascii="Palatino Linotype" w:hAnsi="Palatino Linotype"/>
        </w:rPr>
        <w:t>an important influence on</w:t>
      </w:r>
      <w:r w:rsidRPr="00593890">
        <w:rPr>
          <w:rFonts w:ascii="Palatino Linotype" w:hAnsi="Palatino Linotype"/>
        </w:rPr>
        <w:t xml:space="preserve"> the political configurations of the dual </w:t>
      </w:r>
      <w:r w:rsidRPr="00593890">
        <w:rPr>
          <w:rFonts w:ascii="Palatino Linotype" w:hAnsi="Palatino Linotype"/>
          <w:i/>
        </w:rPr>
        <w:t>kaim makate</w:t>
      </w:r>
      <w:r w:rsidRPr="00593890">
        <w:rPr>
          <w:rFonts w:ascii="Palatino Linotype" w:hAnsi="Palatino Linotype"/>
        </w:rPr>
        <w:t xml:space="preserve"> system). </w:t>
      </w:r>
      <w:r w:rsidRPr="00593890">
        <w:rPr>
          <w:rFonts w:ascii="Palatino Linotype" w:hAnsi="Palatino Linotype"/>
          <w:lang w:val="en-GB"/>
        </w:rPr>
        <w:t>Wagstaff, ‘A Note on Some Nineteenth-Century Population Statistics for Lebanon’: 27-28.</w:t>
      </w:r>
    </w:p>
  </w:footnote>
  <w:footnote w:id="4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Leila Tarazi Fawaz, </w:t>
      </w:r>
      <w:r w:rsidRPr="00F8093A">
        <w:rPr>
          <w:rFonts w:ascii="Palatino Linotype" w:hAnsi="Palatino Linotype"/>
          <w:i/>
          <w:lang w:val="en-GB"/>
        </w:rPr>
        <w:t xml:space="preserve">An Occasion for War: Civil Conflict in Lebanon and Damascus in 1860 </w:t>
      </w:r>
      <w:r w:rsidRPr="00D41959">
        <w:rPr>
          <w:rFonts w:ascii="Palatino Linotype" w:hAnsi="Palatino Linotype"/>
          <w:lang w:val="en-GB"/>
        </w:rPr>
        <w:t>(</w:t>
      </w:r>
      <w:r w:rsidRPr="00F8093A">
        <w:rPr>
          <w:rFonts w:ascii="Palatino Linotype" w:hAnsi="Palatino Linotype"/>
          <w:lang w:val="en-GB"/>
        </w:rPr>
        <w:t>London and New York: I.B. Tauris, 1994): 29-30.</w:t>
      </w:r>
    </w:p>
  </w:footnote>
  <w:footnote w:id="4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Makdisi, </w:t>
      </w:r>
      <w:r w:rsidRPr="003D4901">
        <w:rPr>
          <w:rFonts w:ascii="Palatino Linotype" w:hAnsi="Palatino Linotype"/>
          <w:i/>
          <w:lang w:val="en-GB"/>
        </w:rPr>
        <w:t>Culture of Sectarianism</w:t>
      </w:r>
      <w:r w:rsidRPr="00F8093A">
        <w:rPr>
          <w:rFonts w:ascii="Palatino Linotype" w:hAnsi="Palatino Linotype"/>
          <w:lang w:val="en-GB"/>
        </w:rPr>
        <w:t>:</w:t>
      </w:r>
      <w:r>
        <w:rPr>
          <w:rFonts w:ascii="Palatino Linotype" w:hAnsi="Palatino Linotype"/>
          <w:lang w:val="en-GB"/>
        </w:rPr>
        <w:t xml:space="preserve"> </w:t>
      </w:r>
      <w:r w:rsidRPr="00F8093A">
        <w:rPr>
          <w:rFonts w:ascii="Palatino Linotype" w:hAnsi="Palatino Linotype"/>
          <w:lang w:val="en-GB"/>
        </w:rPr>
        <w:t xml:space="preserve">84-86; Ma‘oz, </w:t>
      </w:r>
      <w:r w:rsidRPr="00F8093A">
        <w:rPr>
          <w:rFonts w:ascii="Palatino Linotype" w:hAnsi="Palatino Linotype"/>
          <w:i/>
          <w:lang w:val="en-GB"/>
        </w:rPr>
        <w:t>Ottoman Reform in Syria and Palestine</w:t>
      </w:r>
      <w:r w:rsidRPr="00F8093A">
        <w:rPr>
          <w:rFonts w:ascii="Palatino Linotype" w:hAnsi="Palatino Linotype"/>
          <w:lang w:val="en-GB"/>
        </w:rPr>
        <w:t>: 92-94.</w:t>
      </w:r>
    </w:p>
  </w:footnote>
  <w:footnote w:id="4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Makdisi, </w:t>
      </w:r>
      <w:r w:rsidRPr="003D4901">
        <w:rPr>
          <w:rFonts w:ascii="Palatino Linotype" w:hAnsi="Palatino Linotype"/>
          <w:i/>
          <w:lang w:val="en-GB"/>
        </w:rPr>
        <w:t>Culture of Sectarianism</w:t>
      </w:r>
      <w:r w:rsidRPr="00F8093A">
        <w:rPr>
          <w:rFonts w:ascii="Palatino Linotype" w:hAnsi="Palatino Linotype"/>
          <w:lang w:val="en-GB"/>
        </w:rPr>
        <w:t xml:space="preserve">: 84; Ma‘oz, </w:t>
      </w:r>
      <w:r w:rsidRPr="00F8093A">
        <w:rPr>
          <w:rFonts w:ascii="Palatino Linotype" w:hAnsi="Palatino Linotype"/>
          <w:i/>
          <w:lang w:val="en-GB"/>
        </w:rPr>
        <w:t>Ottoman Reform in Syria and Palestine</w:t>
      </w:r>
      <w:r w:rsidRPr="00F8093A">
        <w:rPr>
          <w:rFonts w:ascii="Palatino Linotype" w:hAnsi="Palatino Linotype"/>
          <w:lang w:val="en-GB"/>
        </w:rPr>
        <w:t>: 23.</w:t>
      </w:r>
    </w:p>
  </w:footnote>
  <w:footnote w:id="4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Havemann, ‘The Impact of Peasant Resistance’: 89-95; Makdisi, ‘Rethinking Ottoman Imperialism’: 33; Kerr, </w:t>
      </w:r>
      <w:r w:rsidRPr="00F8093A">
        <w:rPr>
          <w:rFonts w:ascii="Palatino Linotype" w:hAnsi="Palatino Linotype"/>
          <w:i/>
          <w:lang w:val="en-GB"/>
        </w:rPr>
        <w:t>Lebanon in the Last Years of Feudalism</w:t>
      </w:r>
      <w:r w:rsidRPr="00F8093A">
        <w:rPr>
          <w:rFonts w:ascii="Palatino Linotype" w:hAnsi="Palatino Linotype"/>
          <w:lang w:val="en-GB"/>
        </w:rPr>
        <w:t>: 19-23, 114, 121-143.</w:t>
      </w:r>
    </w:p>
  </w:footnote>
  <w:footnote w:id="4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Hanssen, ‘Practices of Integration-Centre-Periphery Relations’: 62.</w:t>
      </w:r>
    </w:p>
  </w:footnote>
  <w:footnote w:id="5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Resat Kasaba, ‘Do States Always Favor Stasis? The Changing Status of Tribes in the Ottoman Empire’, in: J. Migdal, (ed.), </w:t>
      </w:r>
      <w:r w:rsidRPr="00F8093A">
        <w:rPr>
          <w:rFonts w:ascii="Palatino Linotype" w:hAnsi="Palatino Linotype"/>
          <w:i/>
          <w:lang w:val="en-GB"/>
        </w:rPr>
        <w:t>Boundaries and Belonging: States and Societies in the Struggle to Shape Identities and Local Practices (</w:t>
      </w:r>
      <w:r w:rsidRPr="00F8093A">
        <w:rPr>
          <w:rFonts w:ascii="Palatino Linotype" w:hAnsi="Palatino Linotype"/>
          <w:lang w:val="en-GB"/>
        </w:rPr>
        <w:t xml:space="preserve">Cambridge: Cambridge University Press, 2004): 43. </w:t>
      </w:r>
    </w:p>
  </w:footnote>
  <w:footnote w:id="5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Makdisi, </w:t>
      </w:r>
      <w:r w:rsidRPr="00F8093A">
        <w:rPr>
          <w:rFonts w:ascii="Palatino Linotype" w:hAnsi="Palatino Linotype"/>
          <w:i/>
          <w:lang w:val="en-GB"/>
        </w:rPr>
        <w:t>The Culture of Sectarianism</w:t>
      </w:r>
      <w:r w:rsidRPr="00F8093A">
        <w:rPr>
          <w:rFonts w:ascii="Palatino Linotype" w:hAnsi="Palatino Linotype"/>
          <w:lang w:val="en-GB"/>
        </w:rPr>
        <w:t xml:space="preserve">: 84-87; Kerr, </w:t>
      </w:r>
      <w:r w:rsidRPr="00F8093A">
        <w:rPr>
          <w:rFonts w:ascii="Palatino Linotype" w:hAnsi="Palatino Linotype"/>
          <w:i/>
          <w:lang w:val="en-GB"/>
        </w:rPr>
        <w:t>Lebanon in the Last Years of Feudalism</w:t>
      </w:r>
      <w:r w:rsidRPr="00F8093A">
        <w:rPr>
          <w:rFonts w:ascii="Palatino Linotype" w:hAnsi="Palatino Linotype"/>
          <w:lang w:val="en-GB"/>
        </w:rPr>
        <w:t>: 6-19.</w:t>
      </w:r>
    </w:p>
  </w:footnote>
  <w:footnote w:id="5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Edward Atiyah, </w:t>
      </w:r>
      <w:r w:rsidRPr="00F8093A">
        <w:rPr>
          <w:rFonts w:ascii="Palatino Linotype" w:hAnsi="Palatino Linotype"/>
          <w:i/>
          <w:lang w:val="en-GB"/>
        </w:rPr>
        <w:t>An Arab Tells His Story: A Study in Loyalties</w:t>
      </w:r>
      <w:r w:rsidRPr="00F8093A">
        <w:rPr>
          <w:rFonts w:ascii="Palatino Linotype" w:hAnsi="Palatino Linotype"/>
          <w:lang w:val="en-GB"/>
        </w:rPr>
        <w:t xml:space="preserve"> (London: John Murray, 1946): 10; Makdisi, </w:t>
      </w:r>
      <w:r w:rsidRPr="00F8093A">
        <w:rPr>
          <w:rFonts w:ascii="Palatino Linotype" w:hAnsi="Palatino Linotype"/>
          <w:i/>
          <w:lang w:val="en-GB"/>
        </w:rPr>
        <w:t>The Culture of Sectarianism</w:t>
      </w:r>
      <w:r w:rsidRPr="00F8093A">
        <w:rPr>
          <w:rFonts w:ascii="Palatino Linotype" w:hAnsi="Palatino Linotype"/>
          <w:lang w:val="en-GB"/>
        </w:rPr>
        <w:t>: 6-7.</w:t>
      </w:r>
    </w:p>
  </w:footnote>
  <w:footnote w:id="5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Makdisi, </w:t>
      </w:r>
      <w:r w:rsidRPr="00F8093A">
        <w:rPr>
          <w:rFonts w:ascii="Palatino Linotype" w:hAnsi="Palatino Linotype"/>
          <w:i/>
          <w:lang w:val="en-GB"/>
        </w:rPr>
        <w:t>The Culture of Sectarianism</w:t>
      </w:r>
      <w:r w:rsidRPr="00F8093A">
        <w:rPr>
          <w:rFonts w:ascii="Palatino Linotype" w:hAnsi="Palatino Linotype"/>
          <w:lang w:val="en-GB"/>
        </w:rPr>
        <w:t xml:space="preserve">; James A. Reilly, ‘Inter-Confessional Relations in Nineteenth-Century Syria: Damascus, Homs and Hama Compared’, </w:t>
      </w:r>
      <w:r w:rsidRPr="00F8093A">
        <w:rPr>
          <w:rFonts w:ascii="Palatino Linotype" w:hAnsi="Palatino Linotype"/>
          <w:i/>
          <w:lang w:val="en-GB"/>
        </w:rPr>
        <w:t>ICMR</w:t>
      </w:r>
      <w:r w:rsidRPr="00F8093A">
        <w:rPr>
          <w:rFonts w:ascii="Palatino Linotype" w:hAnsi="Palatino Linotype"/>
          <w:lang w:val="en-GB"/>
        </w:rPr>
        <w:t xml:space="preserve"> 7:2 (1996): 213-224. </w:t>
      </w:r>
    </w:p>
  </w:footnote>
  <w:footnote w:id="5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Bruce Masters, </w:t>
      </w:r>
      <w:r w:rsidRPr="00F8093A">
        <w:rPr>
          <w:rFonts w:ascii="Palatino Linotype" w:hAnsi="Palatino Linotype"/>
          <w:i/>
          <w:lang w:val="en-GB"/>
        </w:rPr>
        <w:t xml:space="preserve">Christians and Jews in the Ottoman Arab World: The Roots of </w:t>
      </w:r>
      <w:r w:rsidRPr="00F8093A">
        <w:rPr>
          <w:rFonts w:ascii="Palatino Linotype" w:hAnsi="Palatino Linotype"/>
          <w:lang w:val="en-GB"/>
        </w:rPr>
        <w:t xml:space="preserve">Sectarianism (Cambridge: Cambridge University Press, 2001): 61-67; Benjamin Braude, ‘Foundation Myth of the </w:t>
      </w:r>
      <w:r w:rsidRPr="00F8093A">
        <w:rPr>
          <w:rFonts w:ascii="Palatino Linotype" w:hAnsi="Palatino Linotype"/>
          <w:i/>
          <w:lang w:val="en-GB"/>
        </w:rPr>
        <w:t>Millet</w:t>
      </w:r>
      <w:r w:rsidRPr="00F8093A">
        <w:rPr>
          <w:rFonts w:ascii="Palatino Linotype" w:hAnsi="Palatino Linotype"/>
          <w:lang w:val="en-GB"/>
        </w:rPr>
        <w:t xml:space="preserve"> System’, in B. Braude and B. Lewis, (eds.), </w:t>
      </w:r>
      <w:r w:rsidRPr="00F8093A">
        <w:rPr>
          <w:rFonts w:ascii="Palatino Linotype" w:hAnsi="Palatino Linotype"/>
          <w:i/>
          <w:lang w:val="en-GB"/>
        </w:rPr>
        <w:t>Christians and Jews in the Ottoman Empire: The Functioning of a Plural Society: Volume I: The Central Lands</w:t>
      </w:r>
      <w:r w:rsidRPr="00F8093A">
        <w:rPr>
          <w:rFonts w:ascii="Palatino Linotype" w:hAnsi="Palatino Linotype"/>
          <w:lang w:val="en-GB"/>
        </w:rPr>
        <w:t xml:space="preserve"> (New York and London: Holmes &amp; Meier Publishers, 1982): 73; Andrea Pacini, (ed.), </w:t>
      </w:r>
      <w:r w:rsidRPr="00F8093A">
        <w:rPr>
          <w:rFonts w:ascii="Palatino Linotype" w:hAnsi="Palatino Linotype"/>
          <w:i/>
          <w:lang w:val="en-GB"/>
        </w:rPr>
        <w:t>Christian Communities in the Arab Middle East: The Challenge of the Future</w:t>
      </w:r>
      <w:r w:rsidRPr="00F8093A">
        <w:rPr>
          <w:rFonts w:ascii="Palatino Linotype" w:hAnsi="Palatino Linotype"/>
          <w:lang w:val="en-GB"/>
        </w:rPr>
        <w:t xml:space="preserve"> (Oxford: Oxford University Press, 1998): 5-7; Amnon Cohen, ‘On the Realities of the Millet System’, in B. Braude and B. Lewis, (eds.), </w:t>
      </w:r>
      <w:r w:rsidRPr="00F8093A">
        <w:rPr>
          <w:rFonts w:ascii="Palatino Linotype" w:hAnsi="Palatino Linotype"/>
          <w:i/>
          <w:lang w:val="en-GB"/>
        </w:rPr>
        <w:t>Christians and Jews in the Ottoman Empire: The Functioning of a Plural Society: Volume I: The Central Lands</w:t>
      </w:r>
      <w:r w:rsidRPr="00F8093A">
        <w:rPr>
          <w:rFonts w:ascii="Palatino Linotype" w:hAnsi="Palatino Linotype"/>
          <w:lang w:val="en-GB"/>
        </w:rPr>
        <w:t xml:space="preserve"> (New York and London: Holmes &amp; Meier Publishers, 1982): 7-18.</w:t>
      </w:r>
    </w:p>
  </w:footnote>
  <w:footnote w:id="5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t>
      </w:r>
      <w:r>
        <w:rPr>
          <w:rFonts w:ascii="Palatino Linotype" w:hAnsi="Palatino Linotype"/>
          <w:lang w:val="en-GB"/>
        </w:rPr>
        <w:t xml:space="preserve">For more on Armenian Protestants see </w:t>
      </w:r>
      <w:r w:rsidRPr="00F8093A">
        <w:rPr>
          <w:rFonts w:ascii="Palatino Linotype" w:hAnsi="Palatino Linotype"/>
          <w:lang w:val="en-GB"/>
        </w:rPr>
        <w:t xml:space="preserve">Jeremy Salt, ‘Trouble Wherever They Went: American Missionaries in Anatolia and Ottoman Syria in the Nineteenth Century’, in: Tejirian and Simon, </w:t>
      </w:r>
      <w:r w:rsidRPr="00F8093A">
        <w:rPr>
          <w:rFonts w:ascii="Palatino Linotype" w:hAnsi="Palatino Linotype"/>
          <w:i/>
          <w:lang w:val="en-GB"/>
        </w:rPr>
        <w:t>AI</w:t>
      </w:r>
      <w:r w:rsidRPr="00F8093A">
        <w:rPr>
          <w:rFonts w:ascii="Palatino Linotype" w:hAnsi="Palatino Linotype"/>
          <w:lang w:val="en-GB"/>
        </w:rPr>
        <w:t>: 143-166. The differences between Armenian</w:t>
      </w:r>
      <w:r>
        <w:rPr>
          <w:rFonts w:ascii="Palatino Linotype" w:hAnsi="Palatino Linotype"/>
          <w:lang w:val="en-GB"/>
        </w:rPr>
        <w:t xml:space="preserve">-Protestant and Syrian-Protestants </w:t>
      </w:r>
      <w:r w:rsidRPr="00F8093A">
        <w:rPr>
          <w:rFonts w:ascii="Palatino Linotype" w:hAnsi="Palatino Linotype"/>
          <w:lang w:val="en-GB"/>
        </w:rPr>
        <w:t>communities are discussed in Badr, ‘American Protestant Mission</w:t>
      </w:r>
      <w:r>
        <w:rPr>
          <w:rFonts w:ascii="Palatino Linotype" w:hAnsi="Palatino Linotype"/>
          <w:lang w:val="en-GB"/>
        </w:rPr>
        <w:t xml:space="preserve">ary Beginnings’: 211-239. This analysis will </w:t>
      </w:r>
      <w:r w:rsidRPr="00F8093A">
        <w:rPr>
          <w:rFonts w:ascii="Palatino Linotype" w:hAnsi="Palatino Linotype"/>
          <w:lang w:val="en-GB"/>
        </w:rPr>
        <w:t xml:space="preserve">not consider other communities </w:t>
      </w:r>
      <w:r>
        <w:rPr>
          <w:rFonts w:ascii="Palatino Linotype" w:hAnsi="Palatino Linotype"/>
          <w:lang w:val="en-GB"/>
        </w:rPr>
        <w:t>within</w:t>
      </w:r>
      <w:r w:rsidRPr="00F8093A">
        <w:rPr>
          <w:rFonts w:ascii="Palatino Linotype" w:hAnsi="Palatino Linotype"/>
          <w:lang w:val="en-GB"/>
        </w:rPr>
        <w:t xml:space="preserve"> the </w:t>
      </w:r>
      <w:r w:rsidRPr="00F8093A">
        <w:rPr>
          <w:rFonts w:ascii="Palatino Linotype" w:hAnsi="Palatino Linotype"/>
          <w:i/>
          <w:lang w:val="en-GB"/>
        </w:rPr>
        <w:t>Rum</w:t>
      </w:r>
      <w:r w:rsidRPr="00F8093A">
        <w:rPr>
          <w:rFonts w:ascii="Palatino Linotype" w:hAnsi="Palatino Linotype"/>
          <w:lang w:val="en-GB"/>
        </w:rPr>
        <w:t>, like the Syrian Orthodox, due to their limited contact with the ABCFM and role in the Protestant Circle.</w:t>
      </w:r>
    </w:p>
  </w:footnote>
  <w:footnote w:id="5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Masters, </w:t>
      </w:r>
      <w:r w:rsidRPr="00F8093A">
        <w:rPr>
          <w:rFonts w:ascii="Palatino Linotype" w:hAnsi="Palatino Linotype"/>
          <w:i/>
          <w:lang w:val="en-GB"/>
        </w:rPr>
        <w:t>Christians and Jews in the Ottoman Arab World</w:t>
      </w:r>
      <w:r w:rsidRPr="00F8093A">
        <w:rPr>
          <w:rFonts w:ascii="Palatino Linotype" w:hAnsi="Palatino Linotype"/>
          <w:lang w:val="en-GB"/>
        </w:rPr>
        <w:t>: 39.</w:t>
      </w:r>
    </w:p>
  </w:footnote>
  <w:footnote w:id="5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Effendi, </w:t>
      </w:r>
      <w:r w:rsidRPr="00F8093A">
        <w:rPr>
          <w:rFonts w:ascii="Palatino Linotype" w:hAnsi="Palatino Linotype"/>
          <w:i/>
          <w:lang w:val="en-GB"/>
        </w:rPr>
        <w:t>The T</w:t>
      </w:r>
      <w:r>
        <w:rPr>
          <w:rFonts w:ascii="Palatino Linotype" w:hAnsi="Palatino Linotype"/>
          <w:i/>
          <w:lang w:val="en-GB"/>
        </w:rPr>
        <w:t>histle and the Cedar of Lebanon</w:t>
      </w:r>
      <w:r w:rsidRPr="00F8093A">
        <w:rPr>
          <w:rFonts w:ascii="Palatino Linotype" w:hAnsi="Palatino Linotype"/>
          <w:lang w:val="en-GB"/>
        </w:rPr>
        <w:t>: 308.</w:t>
      </w:r>
    </w:p>
  </w:footnote>
  <w:footnote w:id="5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Bernard Heyberger, ‘The Development of Catholicism in the Middle East (16th -19th Centuries)’, in: Badr</w:t>
      </w:r>
      <w:r>
        <w:rPr>
          <w:rFonts w:ascii="Palatino Linotype" w:hAnsi="Palatino Linotype"/>
          <w:lang w:val="en-GB"/>
        </w:rPr>
        <w:t>,</w:t>
      </w:r>
      <w:r w:rsidRPr="00F8093A">
        <w:rPr>
          <w:rFonts w:ascii="Palatino Linotype" w:hAnsi="Palatino Linotype"/>
          <w:lang w:val="en-GB"/>
        </w:rPr>
        <w:t xml:space="preserve"> </w:t>
      </w:r>
      <w:r w:rsidRPr="00F8093A">
        <w:rPr>
          <w:rFonts w:ascii="Palatino Linotype" w:hAnsi="Palatino Linotype"/>
          <w:i/>
          <w:lang w:val="en-GB"/>
        </w:rPr>
        <w:t>CHME</w:t>
      </w:r>
      <w:r w:rsidRPr="00F8093A">
        <w:rPr>
          <w:rFonts w:ascii="Palatino Linotype" w:hAnsi="Palatino Linotype"/>
          <w:lang w:val="en-GB"/>
        </w:rPr>
        <w:t xml:space="preserve">: 639. </w:t>
      </w:r>
    </w:p>
  </w:footnote>
  <w:footnote w:id="5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Heyberger </w:t>
      </w:r>
      <w:r w:rsidRPr="00F8093A">
        <w:rPr>
          <w:rFonts w:ascii="Palatino Linotype" w:hAnsi="Palatino Linotype"/>
          <w:i/>
          <w:lang w:val="en-GB"/>
        </w:rPr>
        <w:t>Les Chrétiens du Proche-Orient</w:t>
      </w:r>
      <w:r w:rsidRPr="00F8093A">
        <w:rPr>
          <w:rFonts w:ascii="Palatino Linotype" w:hAnsi="Palatino Linotype"/>
          <w:lang w:val="en-GB"/>
        </w:rPr>
        <w:t xml:space="preserve">: 66-68; Robert M. Haddad, </w:t>
      </w:r>
      <w:r w:rsidRPr="00F8093A">
        <w:rPr>
          <w:rFonts w:ascii="Palatino Linotype" w:hAnsi="Palatino Linotype"/>
          <w:i/>
          <w:lang w:val="en-GB"/>
        </w:rPr>
        <w:t>Syrian Christians in Muslim Society: An Interpretation</w:t>
      </w:r>
      <w:r w:rsidRPr="00F8093A">
        <w:rPr>
          <w:rFonts w:ascii="Palatino Linotype" w:hAnsi="Palatino Linotype"/>
          <w:lang w:val="en-GB"/>
        </w:rPr>
        <w:t xml:space="preserve"> (Princeton, New Jersey: Princeton University Press, 1970): 26-27.</w:t>
      </w:r>
    </w:p>
  </w:footnote>
  <w:footnote w:id="6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Elyse Semerdjian, ‘Sinful Professions: Illegal Occupations of Women in Ottoman Aleppo, Syria’, </w:t>
      </w:r>
      <w:r w:rsidRPr="00F8093A">
        <w:rPr>
          <w:rFonts w:ascii="Palatino Linotype" w:hAnsi="Palatino Linotype"/>
          <w:i/>
          <w:lang w:val="en-GB"/>
        </w:rPr>
        <w:t>Hawwa,</w:t>
      </w:r>
      <w:r w:rsidRPr="00F8093A">
        <w:rPr>
          <w:rFonts w:ascii="Palatino Linotype" w:hAnsi="Palatino Linotype"/>
          <w:lang w:val="en-GB"/>
        </w:rPr>
        <w:t xml:space="preserve"> 1:1 (2003): 66-67; Reilly, </w:t>
      </w:r>
      <w:r w:rsidRPr="00F8093A">
        <w:rPr>
          <w:rFonts w:ascii="Palatino Linotype" w:hAnsi="Palatino Linotype"/>
          <w:i/>
          <w:lang w:val="en-GB"/>
        </w:rPr>
        <w:t>A Small Town in Syria</w:t>
      </w:r>
      <w:r w:rsidRPr="00F8093A">
        <w:rPr>
          <w:rFonts w:ascii="Palatino Linotype" w:hAnsi="Palatino Linotype"/>
          <w:lang w:val="en-GB"/>
        </w:rPr>
        <w:t>: 57, 68.</w:t>
      </w:r>
    </w:p>
  </w:footnote>
  <w:footnote w:id="6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Reilly, </w:t>
      </w:r>
      <w:r w:rsidRPr="00F8093A">
        <w:rPr>
          <w:rFonts w:ascii="Palatino Linotype" w:hAnsi="Palatino Linotype"/>
          <w:i/>
          <w:lang w:val="en-GB"/>
        </w:rPr>
        <w:t>A Small Town in Syria</w:t>
      </w:r>
      <w:r w:rsidRPr="00F8093A">
        <w:rPr>
          <w:rFonts w:ascii="Palatino Linotype" w:hAnsi="Palatino Linotype"/>
          <w:lang w:val="en-GB"/>
        </w:rPr>
        <w:t xml:space="preserve">: 86-87; Maters, </w:t>
      </w:r>
      <w:r w:rsidRPr="00F8093A">
        <w:rPr>
          <w:rFonts w:ascii="Palatino Linotype" w:hAnsi="Palatino Linotype"/>
          <w:i/>
          <w:lang w:val="en-GB"/>
        </w:rPr>
        <w:t>Christians and Jews in the Ottoman Arab World</w:t>
      </w:r>
      <w:r w:rsidRPr="00F8093A">
        <w:rPr>
          <w:rFonts w:ascii="Palatino Linotype" w:hAnsi="Palatino Linotype"/>
          <w:lang w:val="en-GB"/>
        </w:rPr>
        <w:t>: 61</w:t>
      </w:r>
    </w:p>
  </w:footnote>
  <w:footnote w:id="6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Masters, </w:t>
      </w:r>
      <w:r w:rsidRPr="00F8093A">
        <w:rPr>
          <w:rFonts w:ascii="Palatino Linotype" w:hAnsi="Palatino Linotype"/>
          <w:i/>
          <w:lang w:val="en-GB"/>
        </w:rPr>
        <w:t>Christians and Jews in the Ottoman Arab World</w:t>
      </w:r>
      <w:r w:rsidRPr="00F8093A">
        <w:rPr>
          <w:rFonts w:ascii="Palatino Linotype" w:hAnsi="Palatino Linotype"/>
          <w:lang w:val="en-GB"/>
        </w:rPr>
        <w:t xml:space="preserve">: 61-65; Bernard Heyberger, </w:t>
      </w:r>
      <w:r w:rsidRPr="00F8093A">
        <w:rPr>
          <w:rFonts w:ascii="Palatino Linotype" w:hAnsi="Palatino Linotype"/>
          <w:i/>
          <w:lang w:val="en-GB"/>
        </w:rPr>
        <w:t>Les Chrétiens du Proche-Orient: Au Temps de la Réforme Catholique (Syrie, Liban, Palestine, XVIIe-XVIIIe siècles</w:t>
      </w:r>
      <w:r w:rsidRPr="00F8093A">
        <w:rPr>
          <w:rFonts w:ascii="Palatino Linotype" w:hAnsi="Palatino Linotype"/>
          <w:lang w:val="en-GB"/>
        </w:rPr>
        <w:t xml:space="preserve"> (Rome: École Française de Rome: 1994): 63-64. </w:t>
      </w:r>
    </w:p>
  </w:footnote>
  <w:footnote w:id="6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Masters, </w:t>
      </w:r>
      <w:r w:rsidRPr="00F8093A">
        <w:rPr>
          <w:rFonts w:ascii="Palatino Linotype" w:hAnsi="Palatino Linotype"/>
          <w:i/>
          <w:lang w:val="en-GB"/>
        </w:rPr>
        <w:t>Christians and Jews in the Ottoman Arab World</w:t>
      </w:r>
      <w:r w:rsidRPr="00F8093A">
        <w:rPr>
          <w:rFonts w:ascii="Palatino Linotype" w:hAnsi="Palatino Linotype"/>
          <w:lang w:val="en-GB"/>
        </w:rPr>
        <w:t>: 129.</w:t>
      </w:r>
    </w:p>
  </w:footnote>
  <w:footnote w:id="6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Eli Smith, ‘The Papal Sects of Syria are the Maronites, Greek Catholics, Armenian Catholics, Syrian Catholics and Latins’ (n.s., n.d.):  ABCFM microfilm Unit 5: Near East: Reel 540: 49B-69; Joseph Maila, ‘The Arab Christians: From the Eastern Question to the Recent Political Situation of the Minorities’, in: A. Pancini, (ed.), </w:t>
      </w:r>
      <w:r w:rsidRPr="00F8093A">
        <w:rPr>
          <w:rFonts w:ascii="Palatino Linotype" w:hAnsi="Palatino Linotype"/>
          <w:i/>
          <w:lang w:val="en-GB"/>
        </w:rPr>
        <w:t>Christian Communities in the Arab Middle East: The Challenge of the Future</w:t>
      </w:r>
      <w:r w:rsidRPr="00F8093A">
        <w:rPr>
          <w:rFonts w:ascii="Palatino Linotype" w:hAnsi="Palatino Linotype"/>
          <w:lang w:val="en-GB"/>
        </w:rPr>
        <w:t xml:space="preserve"> (Oxford: Oxford University Press, 1998): 36; Bernard Heyberger and Chantal Verdeil, ‘Spirituality and Scholarship: The Holy Land in Jesuit Eyes (Seventeenth to Nineteenth Centuries)’, in: Murre-van den Berg, </w:t>
      </w:r>
      <w:r w:rsidRPr="00F8093A">
        <w:rPr>
          <w:rFonts w:ascii="Palatino Linotype" w:hAnsi="Palatino Linotype"/>
          <w:i/>
          <w:lang w:val="en-GB"/>
        </w:rPr>
        <w:t xml:space="preserve">NFAL: </w:t>
      </w:r>
      <w:r w:rsidRPr="00F8093A">
        <w:rPr>
          <w:rFonts w:ascii="Palatino Linotype" w:hAnsi="Palatino Linotype"/>
          <w:lang w:val="en-GB"/>
        </w:rPr>
        <w:t xml:space="preserve">33-39; Heyberger, </w:t>
      </w:r>
      <w:r w:rsidRPr="00F8093A">
        <w:rPr>
          <w:rFonts w:ascii="Palatino Linotype" w:hAnsi="Palatino Linotype"/>
          <w:i/>
          <w:lang w:val="en-GB"/>
        </w:rPr>
        <w:t>Les Chrétiens du Proche-Orient</w:t>
      </w:r>
      <w:r w:rsidRPr="00F8093A">
        <w:rPr>
          <w:rFonts w:ascii="Palatino Linotype" w:hAnsi="Palatino Linotype"/>
          <w:lang w:val="en-GB"/>
        </w:rPr>
        <w:t xml:space="preserve">: 4; Masters, </w:t>
      </w:r>
      <w:r w:rsidRPr="00F8093A">
        <w:rPr>
          <w:rFonts w:ascii="Palatino Linotype" w:hAnsi="Palatino Linotype"/>
          <w:i/>
          <w:lang w:val="en-GB"/>
        </w:rPr>
        <w:t>Christians and Jews in the Ottoman Arab World</w:t>
      </w:r>
      <w:r w:rsidRPr="00F8093A">
        <w:rPr>
          <w:rFonts w:ascii="Palatino Linotype" w:hAnsi="Palatino Linotype"/>
          <w:lang w:val="en-GB"/>
        </w:rPr>
        <w:t>: 84-85.</w:t>
      </w:r>
    </w:p>
  </w:footnote>
  <w:footnote w:id="6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Giuseppe Buffon, ‘Les Franciscans en Terre Sainte: De L’Espace au Territoire, Entre Opposition et Adaptation’, in: Murre-van den Berg, </w:t>
      </w:r>
      <w:r w:rsidRPr="00F8093A">
        <w:rPr>
          <w:rFonts w:ascii="Palatino Linotype" w:hAnsi="Palatino Linotype"/>
          <w:i/>
          <w:lang w:val="en-GB"/>
        </w:rPr>
        <w:t>NFAL</w:t>
      </w:r>
      <w:r w:rsidRPr="00F8093A">
        <w:rPr>
          <w:rFonts w:ascii="Palatino Linotype" w:hAnsi="Palatino Linotype"/>
          <w:lang w:val="en-GB"/>
        </w:rPr>
        <w:t>:</w:t>
      </w:r>
      <w:r w:rsidRPr="00F8093A">
        <w:rPr>
          <w:rFonts w:ascii="Palatino Linotype" w:hAnsi="Palatino Linotype"/>
          <w:i/>
          <w:lang w:val="en-GB"/>
        </w:rPr>
        <w:t xml:space="preserve"> </w:t>
      </w:r>
      <w:r w:rsidRPr="00F8093A">
        <w:rPr>
          <w:rFonts w:ascii="Palatino Linotype" w:hAnsi="Palatino Linotype"/>
          <w:lang w:val="en-GB"/>
        </w:rPr>
        <w:t>66-68; Heyberger and Verdeil, ‘Spirituality and Scholarship’: 21-8; Fr. Salim Daccahe, ‘Catholic Missions in the Middle Eas</w:t>
      </w:r>
      <w:r>
        <w:rPr>
          <w:rFonts w:ascii="Palatino Linotype" w:hAnsi="Palatino Linotype"/>
          <w:lang w:val="en-GB"/>
        </w:rPr>
        <w:t>t’, in: Badr,</w:t>
      </w:r>
      <w:r w:rsidRPr="00F8093A">
        <w:rPr>
          <w:rFonts w:ascii="Palatino Linotype" w:hAnsi="Palatino Linotype"/>
          <w:lang w:val="en-GB"/>
        </w:rPr>
        <w:t xml:space="preserve"> </w:t>
      </w:r>
      <w:r w:rsidRPr="00F8093A">
        <w:rPr>
          <w:rFonts w:ascii="Palatino Linotype" w:hAnsi="Palatino Linotype"/>
          <w:i/>
          <w:lang w:val="en-GB"/>
        </w:rPr>
        <w:t>CHME</w:t>
      </w:r>
      <w:r w:rsidRPr="00F8093A">
        <w:rPr>
          <w:rFonts w:ascii="Palatino Linotype" w:hAnsi="Palatino Linotype"/>
          <w:lang w:val="en-GB"/>
        </w:rPr>
        <w:t>: 688-705.</w:t>
      </w:r>
    </w:p>
  </w:footnote>
  <w:footnote w:id="6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I use the term ‘Rome-linked’ to describe these communities, instead of ‘Uniate’, to emphasise that the Syrians’ relationship with the Pope and Roman Catholic missionaries was a complex negotiation of theology, culture and practices.</w:t>
      </w:r>
    </w:p>
  </w:footnote>
  <w:footnote w:id="6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Makdisi argues that through studying in Rome, Maronite ecclesiastics, like Jibra’il ibn al-Qila‘</w:t>
      </w:r>
      <w:r>
        <w:rPr>
          <w:rFonts w:ascii="Palatino Linotype" w:hAnsi="Palatino Linotype"/>
          <w:lang w:val="en-GB"/>
        </w:rPr>
        <w:t>i</w:t>
      </w:r>
      <w:r w:rsidRPr="00F8093A">
        <w:rPr>
          <w:rFonts w:ascii="Palatino Linotype" w:hAnsi="Palatino Linotype"/>
          <w:lang w:val="en-GB"/>
        </w:rPr>
        <w:t xml:space="preserve"> and Istifan Duwayhi functioned as Latin missionaries ‘to his own people’. Makdisi, </w:t>
      </w:r>
      <w:r w:rsidRPr="00F8093A">
        <w:rPr>
          <w:rFonts w:ascii="Palatino Linotype" w:hAnsi="Palatino Linotype"/>
          <w:i/>
          <w:lang w:val="en-GB"/>
        </w:rPr>
        <w:t>Artillery of Heaven</w:t>
      </w:r>
      <w:r w:rsidRPr="00F8093A">
        <w:rPr>
          <w:rFonts w:ascii="Palatino Linotype" w:hAnsi="Palatino Linotype"/>
          <w:lang w:val="en-GB"/>
        </w:rPr>
        <w:t>: 37-47.</w:t>
      </w:r>
    </w:p>
  </w:footnote>
  <w:footnote w:id="6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Smith, ‘The Papal Sects of Syria.</w:t>
      </w:r>
    </w:p>
  </w:footnote>
  <w:footnote w:id="6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Smith, ‘The Papal Sects of Syria’.</w:t>
      </w:r>
    </w:p>
  </w:footnote>
  <w:footnote w:id="7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Khater, ‘God has Called Me to be Free’422-424; Mishaqa, </w:t>
      </w:r>
      <w:r w:rsidRPr="00F8093A">
        <w:rPr>
          <w:rFonts w:ascii="Palatino Linotype" w:hAnsi="Palatino Linotype"/>
          <w:i/>
          <w:lang w:val="en-GB"/>
        </w:rPr>
        <w:t>Murder, Mayhem, Pillage and Plunder</w:t>
      </w:r>
      <w:r w:rsidRPr="00F8093A">
        <w:rPr>
          <w:rFonts w:ascii="Palatino Linotype" w:hAnsi="Palatino Linotype"/>
          <w:lang w:val="en-GB"/>
        </w:rPr>
        <w:t>:</w:t>
      </w:r>
      <w:r w:rsidRPr="00F8093A">
        <w:rPr>
          <w:rFonts w:ascii="Palatino Linotype" w:hAnsi="Palatino Linotype"/>
          <w:i/>
          <w:lang w:val="en-GB"/>
        </w:rPr>
        <w:t xml:space="preserve"> </w:t>
      </w:r>
      <w:r w:rsidRPr="00F8093A">
        <w:rPr>
          <w:rFonts w:ascii="Palatino Linotype" w:hAnsi="Palatino Linotype"/>
          <w:lang w:val="en-GB"/>
        </w:rPr>
        <w:t xml:space="preserve">116. </w:t>
      </w:r>
    </w:p>
  </w:footnote>
  <w:footnote w:id="7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Masters, </w:t>
      </w:r>
      <w:r w:rsidRPr="00F8093A">
        <w:rPr>
          <w:rFonts w:ascii="Palatino Linotype" w:hAnsi="Palatino Linotype"/>
          <w:i/>
          <w:lang w:val="en-GB"/>
        </w:rPr>
        <w:t>Christians and Jews in the Ottoman Arab World</w:t>
      </w:r>
      <w:r w:rsidRPr="00F8093A">
        <w:rPr>
          <w:rFonts w:ascii="Palatino Linotype" w:hAnsi="Palatino Linotype"/>
          <w:lang w:val="en-GB"/>
        </w:rPr>
        <w:t xml:space="preserve">: 89-91. </w:t>
      </w:r>
    </w:p>
  </w:footnote>
  <w:footnote w:id="7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Wessels, </w:t>
      </w:r>
      <w:r w:rsidRPr="00F8093A">
        <w:rPr>
          <w:rFonts w:ascii="Palatino Linotype" w:hAnsi="Palatino Linotype"/>
          <w:i/>
          <w:lang w:val="en-GB"/>
        </w:rPr>
        <w:t xml:space="preserve">Arab </w:t>
      </w:r>
      <w:r w:rsidRPr="00F8093A">
        <w:rPr>
          <w:rFonts w:ascii="Palatino Linotype" w:hAnsi="Palatino Linotype"/>
          <w:lang w:val="en-GB"/>
        </w:rPr>
        <w:t xml:space="preserve">and </w:t>
      </w:r>
      <w:r w:rsidRPr="00F8093A">
        <w:rPr>
          <w:rFonts w:ascii="Palatino Linotype" w:hAnsi="Palatino Linotype"/>
          <w:i/>
          <w:lang w:val="en-GB"/>
        </w:rPr>
        <w:t>Christian</w:t>
      </w:r>
      <w:r w:rsidRPr="00F8093A">
        <w:rPr>
          <w:rFonts w:ascii="Palatino Linotype" w:hAnsi="Palatino Linotype"/>
          <w:lang w:val="en-GB"/>
        </w:rPr>
        <w:t>: 58-59.</w:t>
      </w:r>
    </w:p>
  </w:footnote>
  <w:footnote w:id="7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Masters, </w:t>
      </w:r>
      <w:r w:rsidRPr="00F8093A">
        <w:rPr>
          <w:rFonts w:ascii="Palatino Linotype" w:hAnsi="Palatino Linotype"/>
          <w:i/>
          <w:lang w:val="en-GB"/>
        </w:rPr>
        <w:t>Christians and Jews in the Ottoman Arab World</w:t>
      </w:r>
      <w:r w:rsidRPr="00F8093A">
        <w:rPr>
          <w:rFonts w:ascii="Palatino Linotype" w:hAnsi="Palatino Linotype"/>
          <w:lang w:val="en-GB"/>
        </w:rPr>
        <w:t>: 108.</w:t>
      </w:r>
    </w:p>
  </w:footnote>
  <w:footnote w:id="7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Wortabet,</w:t>
      </w:r>
      <w:r w:rsidRPr="00F8093A">
        <w:rPr>
          <w:rFonts w:ascii="Palatino Linotype" w:hAnsi="Palatino Linotype"/>
          <w:i/>
          <w:lang w:val="en-GB"/>
        </w:rPr>
        <w:t xml:space="preserve"> RRS: </w:t>
      </w:r>
      <w:r w:rsidRPr="00F8093A">
        <w:rPr>
          <w:rFonts w:ascii="Palatino Linotype" w:hAnsi="Palatino Linotype"/>
          <w:lang w:val="en-GB"/>
        </w:rPr>
        <w:t xml:space="preserve">98-100; </w:t>
      </w:r>
      <w:r w:rsidRPr="00F8093A">
        <w:rPr>
          <w:rFonts w:ascii="Palatino Linotype" w:hAnsi="Palatino Linotype"/>
          <w:i/>
          <w:lang w:val="en-GB"/>
        </w:rPr>
        <w:t>MH</w:t>
      </w:r>
      <w:r w:rsidRPr="00F8093A">
        <w:rPr>
          <w:rFonts w:ascii="Palatino Linotype" w:hAnsi="Palatino Linotype"/>
          <w:lang w:val="en-GB"/>
        </w:rPr>
        <w:t xml:space="preserve"> (1856): 378-379.</w:t>
      </w:r>
    </w:p>
  </w:footnote>
  <w:footnote w:id="7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Masters, </w:t>
      </w:r>
      <w:r w:rsidRPr="00F8093A">
        <w:rPr>
          <w:rFonts w:ascii="Palatino Linotype" w:hAnsi="Palatino Linotype"/>
          <w:i/>
          <w:lang w:val="en-GB"/>
        </w:rPr>
        <w:t>Christians and Jews in the Ottoman Arab World</w:t>
      </w:r>
      <w:r w:rsidRPr="00F8093A">
        <w:rPr>
          <w:rFonts w:ascii="Palatino Linotype" w:hAnsi="Palatino Linotype"/>
          <w:lang w:val="en-GB"/>
        </w:rPr>
        <w:t>: 109-111.</w:t>
      </w:r>
    </w:p>
  </w:footnote>
  <w:footnote w:id="7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Atiya, </w:t>
      </w:r>
      <w:r w:rsidRPr="00F8093A">
        <w:rPr>
          <w:rFonts w:ascii="Palatino Linotype" w:hAnsi="Palatino Linotype"/>
          <w:i/>
          <w:lang w:val="en-GB"/>
        </w:rPr>
        <w:t>A History of Eastern Christianity</w:t>
      </w:r>
      <w:r w:rsidRPr="00F8093A">
        <w:rPr>
          <w:rFonts w:ascii="Palatino Linotype" w:hAnsi="Palatino Linotype"/>
          <w:lang w:val="en-GB"/>
        </w:rPr>
        <w:t>: 414.</w:t>
      </w:r>
    </w:p>
  </w:footnote>
  <w:footnote w:id="7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Atiya, </w:t>
      </w:r>
      <w:r w:rsidRPr="00F8093A">
        <w:rPr>
          <w:rFonts w:ascii="Palatino Linotype" w:hAnsi="Palatino Linotype"/>
          <w:i/>
          <w:lang w:val="en-GB"/>
        </w:rPr>
        <w:t>A History of Eastern Christianity</w:t>
      </w:r>
      <w:r w:rsidRPr="00F8093A">
        <w:rPr>
          <w:rFonts w:ascii="Palatino Linotype" w:hAnsi="Palatino Linotype"/>
          <w:lang w:val="en-GB"/>
        </w:rPr>
        <w:t>: 413.</w:t>
      </w:r>
    </w:p>
  </w:footnote>
  <w:footnote w:id="7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Louis Hage, </w:t>
      </w:r>
      <w:r w:rsidRPr="00F8093A">
        <w:rPr>
          <w:rFonts w:ascii="Palatino Linotype" w:hAnsi="Palatino Linotype"/>
          <w:i/>
          <w:lang w:val="en-GB"/>
        </w:rPr>
        <w:t xml:space="preserve">Maronite Music </w:t>
      </w:r>
      <w:r w:rsidRPr="00F8093A">
        <w:rPr>
          <w:rFonts w:ascii="Palatino Linotype" w:hAnsi="Palatino Linotype"/>
          <w:lang w:val="en-GB"/>
        </w:rPr>
        <w:t xml:space="preserve">(London: Longman Group, 1973): 3; Atiya, </w:t>
      </w:r>
      <w:r w:rsidRPr="00F8093A">
        <w:rPr>
          <w:rFonts w:ascii="Palatino Linotype" w:hAnsi="Palatino Linotype"/>
          <w:i/>
          <w:lang w:val="en-GB"/>
        </w:rPr>
        <w:t>A History of Eastern Christianity</w:t>
      </w:r>
      <w:r w:rsidRPr="00F8093A">
        <w:rPr>
          <w:rFonts w:ascii="Palatino Linotype" w:hAnsi="Palatino Linotype"/>
          <w:lang w:val="en-GB"/>
        </w:rPr>
        <w:t xml:space="preserve">: 414; Marie Keyrouz, </w:t>
      </w:r>
      <w:r w:rsidRPr="00F8093A">
        <w:rPr>
          <w:rFonts w:ascii="Palatino Linotype" w:hAnsi="Palatino Linotype"/>
          <w:i/>
          <w:lang w:val="en-GB"/>
        </w:rPr>
        <w:t xml:space="preserve">Chant Byzantin/Chant Traditionnel Maronite </w:t>
      </w:r>
      <w:r w:rsidRPr="00F8093A">
        <w:rPr>
          <w:rFonts w:ascii="Palatino Linotype" w:hAnsi="Palatino Linotype"/>
          <w:lang w:val="en-GB"/>
        </w:rPr>
        <w:t>(compact disc) (n.s.: Harmonia Mundi Fr.:  2004).</w:t>
      </w:r>
    </w:p>
  </w:footnote>
  <w:footnote w:id="7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Pr>
          <w:rFonts w:ascii="Palatino Linotype" w:hAnsi="Palatino Linotype"/>
          <w:lang w:val="en-GB"/>
        </w:rPr>
        <w:t xml:space="preserve"> </w:t>
      </w:r>
      <w:r w:rsidRPr="00F8093A">
        <w:rPr>
          <w:rFonts w:ascii="Palatino Linotype" w:hAnsi="Palatino Linotype"/>
          <w:lang w:val="en-GB"/>
        </w:rPr>
        <w:t>Maila, ‘The Arab Christians</w:t>
      </w:r>
      <w:r>
        <w:rPr>
          <w:rFonts w:ascii="Palatino Linotype" w:hAnsi="Palatino Linotype"/>
          <w:lang w:val="en-GB"/>
        </w:rPr>
        <w:t>’</w:t>
      </w:r>
      <w:r w:rsidRPr="00F8093A">
        <w:rPr>
          <w:rFonts w:ascii="Palatino Linotype" w:hAnsi="Palatino Linotype"/>
          <w:lang w:val="en-GB"/>
        </w:rPr>
        <w:t>: 37.</w:t>
      </w:r>
    </w:p>
  </w:footnote>
  <w:footnote w:id="8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Wortabet,</w:t>
      </w:r>
      <w:r w:rsidRPr="00F8093A">
        <w:rPr>
          <w:rFonts w:ascii="Palatino Linotype" w:hAnsi="Palatino Linotype"/>
          <w:i/>
          <w:lang w:val="en-GB"/>
        </w:rPr>
        <w:t xml:space="preserve"> RRS: </w:t>
      </w:r>
      <w:r w:rsidRPr="00F8093A">
        <w:rPr>
          <w:rFonts w:ascii="Palatino Linotype" w:hAnsi="Palatino Linotype"/>
          <w:lang w:val="en-GB"/>
        </w:rPr>
        <w:t>113-116; Atiya</w:t>
      </w:r>
      <w:r>
        <w:rPr>
          <w:rFonts w:ascii="Palatino Linotype" w:hAnsi="Palatino Linotype"/>
          <w:lang w:val="en-GB"/>
        </w:rPr>
        <w:t>,</w:t>
      </w:r>
      <w:r w:rsidRPr="00F8093A">
        <w:rPr>
          <w:rFonts w:ascii="Palatino Linotype" w:hAnsi="Palatino Linotype"/>
          <w:i/>
          <w:lang w:val="en-GB"/>
        </w:rPr>
        <w:t xml:space="preserve"> A History of Eastern Christianity</w:t>
      </w:r>
      <w:r w:rsidRPr="00F8093A">
        <w:rPr>
          <w:rFonts w:ascii="Palatino Linotype" w:hAnsi="Palatino Linotype"/>
          <w:lang w:val="en-GB"/>
        </w:rPr>
        <w:t xml:space="preserve">: 401; Wessel, </w:t>
      </w:r>
      <w:r w:rsidRPr="00F8093A">
        <w:rPr>
          <w:rFonts w:ascii="Palatino Linotype" w:hAnsi="Palatino Linotype"/>
          <w:i/>
          <w:lang w:val="en-GB"/>
        </w:rPr>
        <w:t xml:space="preserve">Arab </w:t>
      </w:r>
      <w:r w:rsidRPr="00F8093A">
        <w:rPr>
          <w:rFonts w:ascii="Palatino Linotype" w:hAnsi="Palatino Linotype"/>
          <w:lang w:val="en-GB"/>
        </w:rPr>
        <w:t xml:space="preserve">and </w:t>
      </w:r>
      <w:r w:rsidRPr="00F8093A">
        <w:rPr>
          <w:rFonts w:ascii="Palatino Linotype" w:hAnsi="Palatino Linotype"/>
          <w:i/>
          <w:lang w:val="en-GB"/>
        </w:rPr>
        <w:t>Christian</w:t>
      </w:r>
      <w:r w:rsidRPr="00F8093A">
        <w:rPr>
          <w:rFonts w:ascii="Palatino Linotype" w:hAnsi="Palatino Linotype"/>
          <w:lang w:val="en-GB"/>
        </w:rPr>
        <w:t>: 104.</w:t>
      </w:r>
    </w:p>
  </w:footnote>
  <w:footnote w:id="8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Atiya, </w:t>
      </w:r>
      <w:r w:rsidRPr="00F8093A">
        <w:rPr>
          <w:rFonts w:ascii="Palatino Linotype" w:hAnsi="Palatino Linotype"/>
          <w:i/>
          <w:lang w:val="en-GB"/>
        </w:rPr>
        <w:t>A History of Eastern Christianity</w:t>
      </w:r>
      <w:r w:rsidRPr="00F8093A">
        <w:rPr>
          <w:rFonts w:ascii="Palatino Linotype" w:hAnsi="Palatino Linotype"/>
          <w:lang w:val="en-GB"/>
        </w:rPr>
        <w:t>: 402.</w:t>
      </w:r>
    </w:p>
  </w:footnote>
  <w:footnote w:id="8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Kasaba, ‘Do States Always Favor Stasis’: 43; The Armenian Catholic millet was granted authority over the other Rome-united Churches the separate patriarchs and/or millets were recognized by the Porte. Heyberger, ‘The Development of Catholicism in the Middle East’: 646.</w:t>
      </w:r>
    </w:p>
  </w:footnote>
  <w:footnote w:id="8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t>
      </w:r>
      <w:r w:rsidRPr="00F8093A">
        <w:rPr>
          <w:rFonts w:ascii="Palatino Linotype" w:hAnsi="Palatino Linotype"/>
          <w:i/>
          <w:lang w:val="en-GB"/>
        </w:rPr>
        <w:t>MH</w:t>
      </w:r>
      <w:r w:rsidRPr="00F8093A">
        <w:rPr>
          <w:rFonts w:ascii="Palatino Linotype" w:hAnsi="Palatino Linotype"/>
          <w:lang w:val="en-GB"/>
        </w:rPr>
        <w:t xml:space="preserve"> (1856): 184.</w:t>
      </w:r>
    </w:p>
  </w:footnote>
  <w:footnote w:id="8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Khater, ‘God has Called Me to be Free’: 422.</w:t>
      </w:r>
    </w:p>
  </w:footnote>
  <w:footnote w:id="8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t>
      </w:r>
      <w:r>
        <w:rPr>
          <w:rFonts w:ascii="Palatino Linotype" w:hAnsi="Palatino Linotype"/>
          <w:lang w:val="en-GB"/>
        </w:rPr>
        <w:t xml:space="preserve">e.g. </w:t>
      </w:r>
      <w:r w:rsidRPr="00F8093A">
        <w:rPr>
          <w:rFonts w:ascii="Palatino Linotype" w:hAnsi="Palatino Linotype"/>
          <w:lang w:val="en-GB"/>
        </w:rPr>
        <w:t xml:space="preserve">Khater, ‘God has Called Me to be Free’; Avril M. Makhlour, ‘Hindiyya Anne ‘ajaymi and Her Spiritual Journey: The Essential Lightness of Being’ </w:t>
      </w:r>
      <w:r w:rsidRPr="00F8093A">
        <w:rPr>
          <w:rFonts w:ascii="Palatino Linotype" w:hAnsi="Palatino Linotype"/>
          <w:i/>
          <w:lang w:val="en-GB"/>
        </w:rPr>
        <w:t>Hugoye: Journal of Syriac Studies</w:t>
      </w:r>
      <w:r w:rsidRPr="00F8093A">
        <w:rPr>
          <w:rFonts w:ascii="Palatino Linotype" w:hAnsi="Palatino Linotype"/>
          <w:lang w:val="en-GB"/>
        </w:rPr>
        <w:t>,</w:t>
      </w:r>
      <w:r w:rsidRPr="00F8093A">
        <w:rPr>
          <w:rFonts w:ascii="Palatino Linotype" w:hAnsi="Palatino Linotype"/>
          <w:i/>
          <w:lang w:val="en-GB"/>
        </w:rPr>
        <w:t xml:space="preserve"> </w:t>
      </w:r>
      <w:r w:rsidRPr="00F8093A">
        <w:rPr>
          <w:rFonts w:ascii="Palatino Linotype" w:hAnsi="Palatino Linotype"/>
          <w:lang w:val="en-GB"/>
        </w:rPr>
        <w:t xml:space="preserve">4:2 (2001), [online]; Bernard Heyberger, </w:t>
      </w:r>
      <w:r w:rsidRPr="00F8093A">
        <w:rPr>
          <w:rFonts w:ascii="Palatino Linotype" w:hAnsi="Palatino Linotype"/>
          <w:i/>
          <w:lang w:val="en-GB"/>
        </w:rPr>
        <w:t>Hindiyya:</w:t>
      </w:r>
      <w:r w:rsidRPr="00F8093A">
        <w:rPr>
          <w:rFonts w:ascii="Palatino Linotype" w:hAnsi="Palatino Linotype"/>
          <w:lang w:val="en-GB"/>
        </w:rPr>
        <w:t xml:space="preserve"> </w:t>
      </w:r>
      <w:r w:rsidRPr="00F8093A">
        <w:rPr>
          <w:rFonts w:ascii="Palatino Linotype" w:hAnsi="Palatino Linotype"/>
          <w:i/>
          <w:lang w:val="en-GB"/>
        </w:rPr>
        <w:t>Mystique et Criminell</w:t>
      </w:r>
      <w:r>
        <w:rPr>
          <w:rFonts w:ascii="Palatino Linotype" w:hAnsi="Palatino Linotype"/>
          <w:i/>
          <w:lang w:val="en-GB"/>
        </w:rPr>
        <w:t>e</w:t>
      </w:r>
      <w:r w:rsidRPr="00F8093A">
        <w:rPr>
          <w:rFonts w:ascii="Palatino Linotype" w:hAnsi="Palatino Linotype"/>
          <w:i/>
          <w:lang w:val="en-GB"/>
        </w:rPr>
        <w:t>: 1720-1798</w:t>
      </w:r>
      <w:r w:rsidRPr="00F8093A">
        <w:rPr>
          <w:rFonts w:ascii="Palatino Linotype" w:hAnsi="Palatino Linotype"/>
          <w:lang w:val="en-GB"/>
        </w:rPr>
        <w:t xml:space="preserve"> (Paris: Aubier 2001); Bernard Heyberger, ‘Individualism and Political Modernity: Devout Catholic Women in Aleppo and Lebanon Between the Seventeenth and Nineteenth Centuries’, in: A. Sonbol, (ed.), </w:t>
      </w:r>
      <w:r w:rsidRPr="00F8093A">
        <w:rPr>
          <w:rFonts w:ascii="Palatino Linotype" w:hAnsi="Palatino Linotype"/>
          <w:i/>
          <w:lang w:val="en-GB"/>
        </w:rPr>
        <w:t>Beyond the Exotic: Women’s History in Islamic Societies</w:t>
      </w:r>
      <w:r w:rsidRPr="00F8093A">
        <w:rPr>
          <w:rFonts w:ascii="Palatino Linotype" w:hAnsi="Palatino Linotype"/>
          <w:lang w:val="en-GB"/>
        </w:rPr>
        <w:t xml:space="preserve"> (Syracuse: Syracuse University Press, 2005); Heyberger and Verdeil, ‘Spirituality and Scholarship’; Murre-van den Berg, ‘Generous Devotion’; Masters, </w:t>
      </w:r>
      <w:r w:rsidRPr="00F8093A">
        <w:rPr>
          <w:rFonts w:ascii="Palatino Linotype" w:hAnsi="Palatino Linotype"/>
          <w:i/>
          <w:lang w:val="en-GB"/>
        </w:rPr>
        <w:t>Christians and Jews in the Ottoman Arab World</w:t>
      </w:r>
      <w:r w:rsidRPr="00F8093A">
        <w:rPr>
          <w:rFonts w:ascii="Palatino Linotype" w:hAnsi="Palatino Linotype"/>
          <w:lang w:val="en-GB"/>
        </w:rPr>
        <w:t>.</w:t>
      </w:r>
    </w:p>
  </w:footnote>
  <w:footnote w:id="8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Following Khater, ‘</w:t>
      </w:r>
      <w:r w:rsidRPr="00F8093A">
        <w:rPr>
          <w:rFonts w:ascii="Palatino Linotype" w:hAnsi="Palatino Linotype"/>
          <w:i/>
          <w:lang w:val="en-GB"/>
        </w:rPr>
        <w:t>abidat</w:t>
      </w:r>
      <w:r w:rsidRPr="00F8093A">
        <w:rPr>
          <w:rFonts w:ascii="Palatino Linotype" w:hAnsi="Palatino Linotype"/>
          <w:lang w:val="en-GB"/>
        </w:rPr>
        <w:t xml:space="preserve"> will be used for both the singular and plural of religious women-devotees. Khater, ‘God has Called Me to be Free’: 421.</w:t>
      </w:r>
    </w:p>
  </w:footnote>
  <w:footnote w:id="8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Heleen Murre-van den Berg, ‘Generous Devotion: Women in the Church of the East between 1550 and 1850’, </w:t>
      </w:r>
      <w:r w:rsidRPr="00F8093A">
        <w:rPr>
          <w:rFonts w:ascii="Palatino Linotype" w:hAnsi="Palatino Linotype"/>
          <w:i/>
          <w:lang w:val="en-GB"/>
        </w:rPr>
        <w:t>Hugoye: Journal of Syriac Studies,</w:t>
      </w:r>
      <w:r w:rsidRPr="00F8093A">
        <w:rPr>
          <w:rFonts w:ascii="Palatino Linotype" w:hAnsi="Palatino Linotype"/>
          <w:lang w:val="en-GB"/>
        </w:rPr>
        <w:t xml:space="preserve"> 1:1 (2004): 8.</w:t>
      </w:r>
    </w:p>
  </w:footnote>
  <w:footnote w:id="88">
    <w:p w:rsidR="00333418" w:rsidRPr="00F8093A" w:rsidRDefault="00333418" w:rsidP="001761FF">
      <w:pPr>
        <w:pStyle w:val="FootnoteText"/>
        <w:ind w:left="90" w:hanging="90"/>
        <w:jc w:val="both"/>
        <w:rPr>
          <w:rFonts w:ascii="Palatino Linotype" w:hAnsi="Palatino Linotype"/>
        </w:rPr>
      </w:pPr>
      <w:r w:rsidRPr="00F8093A">
        <w:rPr>
          <w:rStyle w:val="FootnoteReference"/>
          <w:rFonts w:ascii="Palatino Linotype" w:hAnsi="Palatino Linotype"/>
        </w:rPr>
        <w:footnoteRef/>
      </w:r>
      <w:r w:rsidRPr="00F8093A">
        <w:rPr>
          <w:rFonts w:ascii="Palatino Linotype" w:hAnsi="Palatino Linotype"/>
        </w:rPr>
        <w:t xml:space="preserve"> Khater, ‘God has Called Me to be Free’: 423-427.</w:t>
      </w:r>
    </w:p>
  </w:footnote>
  <w:footnote w:id="8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Haddad, </w:t>
      </w:r>
      <w:r w:rsidRPr="00F8093A">
        <w:rPr>
          <w:rFonts w:ascii="Palatino Linotype" w:hAnsi="Palatino Linotype"/>
          <w:i/>
          <w:lang w:val="en-GB"/>
        </w:rPr>
        <w:t>Syrian Christians in Muslim Society</w:t>
      </w:r>
      <w:r w:rsidRPr="00F8093A">
        <w:rPr>
          <w:rFonts w:ascii="Palatino Linotype" w:hAnsi="Palatino Linotype"/>
          <w:lang w:val="en-GB"/>
        </w:rPr>
        <w:t>: 54-55.</w:t>
      </w:r>
    </w:p>
  </w:footnote>
  <w:footnote w:id="9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t>
      </w:r>
      <w:r w:rsidRPr="00FF51A3">
        <w:rPr>
          <w:rFonts w:ascii="Palatino Linotype" w:hAnsi="Palatino Linotype"/>
          <w:lang w:val="en-GB"/>
        </w:rPr>
        <w:t>Founded in France by Francois de Sales and Jeanne de Chantel during the early-seventeenth century</w:t>
      </w:r>
      <w:r>
        <w:rPr>
          <w:rFonts w:ascii="Palatino Linotype" w:hAnsi="Palatino Linotype"/>
          <w:lang w:val="en-GB"/>
        </w:rPr>
        <w:t xml:space="preserve">, the Visitandine Order </w:t>
      </w:r>
      <w:r w:rsidRPr="00FF51A3">
        <w:rPr>
          <w:rFonts w:ascii="Palatino Linotype" w:hAnsi="Palatino Linotype"/>
          <w:lang w:val="en-GB"/>
        </w:rPr>
        <w:t>was originally designated as an open community for wealthy, lay women, but became cloistered and accepted only visits from lay women on pilgrimage</w:t>
      </w:r>
      <w:r>
        <w:rPr>
          <w:rFonts w:ascii="Palatino Linotype" w:hAnsi="Palatino Linotype"/>
          <w:lang w:val="en-GB"/>
        </w:rPr>
        <w:t xml:space="preserve">. </w:t>
      </w:r>
      <w:r w:rsidRPr="00F8093A">
        <w:rPr>
          <w:rFonts w:ascii="Palatino Linotype" w:hAnsi="Palatino Linotype"/>
          <w:lang w:val="en-GB"/>
        </w:rPr>
        <w:t xml:space="preserve">Susan E. Dinan, </w:t>
      </w:r>
      <w:r w:rsidRPr="00F8093A">
        <w:rPr>
          <w:rFonts w:ascii="Palatino Linotype" w:hAnsi="Palatino Linotype"/>
          <w:i/>
          <w:lang w:val="en-GB"/>
        </w:rPr>
        <w:t xml:space="preserve">Women and Poor Relief in Seventeenth Century France </w:t>
      </w:r>
      <w:r w:rsidRPr="00F8093A">
        <w:rPr>
          <w:rFonts w:ascii="Palatino Linotype" w:hAnsi="Palatino Linotype"/>
          <w:lang w:val="en-GB"/>
        </w:rPr>
        <w:t>(Aldershot: Ashgate, 2006): 27-28.</w:t>
      </w:r>
    </w:p>
  </w:footnote>
  <w:footnote w:id="9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Khater, ‘God has Called Me to be Free’: 426-431; Heyberger,</w:t>
      </w:r>
      <w:r w:rsidRPr="00F8093A">
        <w:rPr>
          <w:rFonts w:ascii="Palatino Linotype" w:hAnsi="Palatino Linotype"/>
          <w:i/>
          <w:lang w:val="en-GB"/>
        </w:rPr>
        <w:t xml:space="preserve"> Hindiyya</w:t>
      </w:r>
      <w:r w:rsidRPr="00F8093A">
        <w:rPr>
          <w:rFonts w:ascii="Palatino Linotype" w:hAnsi="Palatino Linotype"/>
          <w:lang w:val="en-GB"/>
        </w:rPr>
        <w:t>: 78, 101.</w:t>
      </w:r>
    </w:p>
  </w:footnote>
  <w:footnote w:id="9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Heyberger,</w:t>
      </w:r>
      <w:r w:rsidRPr="00F8093A">
        <w:rPr>
          <w:rFonts w:ascii="Palatino Linotype" w:hAnsi="Palatino Linotype"/>
          <w:i/>
          <w:sz w:val="24"/>
          <w:szCs w:val="24"/>
          <w:lang w:val="en-GB"/>
        </w:rPr>
        <w:t xml:space="preserve"> </w:t>
      </w:r>
      <w:r w:rsidRPr="00F8093A">
        <w:rPr>
          <w:rFonts w:ascii="Palatino Linotype" w:hAnsi="Palatino Linotype"/>
          <w:i/>
          <w:lang w:val="en-GB"/>
        </w:rPr>
        <w:t>Hindiyya</w:t>
      </w:r>
      <w:r w:rsidRPr="00F8093A">
        <w:rPr>
          <w:rFonts w:ascii="Palatino Linotype" w:hAnsi="Palatino Linotype"/>
          <w:lang w:val="en-GB"/>
        </w:rPr>
        <w:t>; Mak</w:t>
      </w:r>
      <w:r>
        <w:rPr>
          <w:rFonts w:ascii="Palatino Linotype" w:hAnsi="Palatino Linotype"/>
          <w:lang w:val="en-GB"/>
        </w:rPr>
        <w:t>h</w:t>
      </w:r>
      <w:r w:rsidRPr="00F8093A">
        <w:rPr>
          <w:rFonts w:ascii="Palatino Linotype" w:hAnsi="Palatino Linotype"/>
          <w:lang w:val="en-GB"/>
        </w:rPr>
        <w:t xml:space="preserve">lour, ‘Hindiyya Anne </w:t>
      </w:r>
      <w:r>
        <w:rPr>
          <w:rFonts w:ascii="Palatino Linotype" w:hAnsi="Palatino Linotype"/>
          <w:lang w:val="en-GB"/>
        </w:rPr>
        <w:t>‛</w:t>
      </w:r>
      <w:r w:rsidRPr="00F8093A">
        <w:rPr>
          <w:rFonts w:ascii="Palatino Linotype" w:hAnsi="Palatino Linotype"/>
          <w:lang w:val="en-GB"/>
        </w:rPr>
        <w:t xml:space="preserve">ajaymi’; Makdisi, </w:t>
      </w:r>
      <w:r w:rsidRPr="00F8093A">
        <w:rPr>
          <w:rFonts w:ascii="Palatino Linotype" w:hAnsi="Palatino Linotype"/>
          <w:i/>
          <w:lang w:val="en-GB"/>
        </w:rPr>
        <w:t>Artillery of Heaven</w:t>
      </w:r>
      <w:r w:rsidRPr="00F8093A">
        <w:rPr>
          <w:rFonts w:ascii="Palatino Linotype" w:hAnsi="Palatino Linotype"/>
          <w:lang w:val="en-GB"/>
        </w:rPr>
        <w:t>: 77-78.</w:t>
      </w:r>
    </w:p>
  </w:footnote>
  <w:footnote w:id="9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Heyberger, </w:t>
      </w:r>
      <w:r w:rsidRPr="00F8093A">
        <w:rPr>
          <w:rFonts w:ascii="Palatino Linotype" w:hAnsi="Palatino Linotype"/>
          <w:i/>
          <w:lang w:val="en-GB"/>
        </w:rPr>
        <w:t>Hindiyya</w:t>
      </w:r>
      <w:r w:rsidRPr="00F8093A">
        <w:rPr>
          <w:rFonts w:ascii="Palatino Linotype" w:hAnsi="Palatino Linotype"/>
          <w:lang w:val="en-GB"/>
        </w:rPr>
        <w:t xml:space="preserve">: 40-108; </w:t>
      </w:r>
      <w:r>
        <w:rPr>
          <w:rFonts w:ascii="Palatino Linotype" w:hAnsi="Palatino Linotype"/>
          <w:lang w:val="en-GB"/>
        </w:rPr>
        <w:t>Makhlour</w:t>
      </w:r>
      <w:r w:rsidRPr="00F8093A">
        <w:rPr>
          <w:rFonts w:ascii="Palatino Linotype" w:hAnsi="Palatino Linotype"/>
          <w:lang w:val="en-GB"/>
        </w:rPr>
        <w:t>, ‘Hindiyya Anne ‘ajaymi’; Khater, ‘God has Called Me to be Free’: 437.</w:t>
      </w:r>
    </w:p>
  </w:footnote>
  <w:footnote w:id="9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For more on the history of the Virgin Mary and the Sacred Heart in nineteenth century Ottoman Syria and Palestin</w:t>
      </w:r>
      <w:r>
        <w:rPr>
          <w:rFonts w:ascii="Palatino Linotype" w:hAnsi="Palatino Linotype"/>
          <w:lang w:val="en-GB"/>
        </w:rPr>
        <w:t>e see Jansen ‘Visions of Mary’</w:t>
      </w:r>
      <w:r w:rsidRPr="00F8093A">
        <w:rPr>
          <w:rFonts w:ascii="Palatino Linotype" w:hAnsi="Palatino Linotype"/>
          <w:lang w:val="en-GB"/>
        </w:rPr>
        <w:t>: 137-154.</w:t>
      </w:r>
    </w:p>
  </w:footnote>
  <w:footnote w:id="9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The image of the stigmata and the crown of roses were two religious symbols that increased in popularity amongst Christians in Ottoman Syria due to the work of French missionaries. Heyberger, </w:t>
      </w:r>
      <w:r w:rsidRPr="00F8093A">
        <w:rPr>
          <w:rFonts w:ascii="Palatino Linotype" w:hAnsi="Palatino Linotype"/>
          <w:i/>
          <w:lang w:val="en-GB"/>
        </w:rPr>
        <w:t>Hindiyya</w:t>
      </w:r>
      <w:r w:rsidRPr="00F8093A">
        <w:rPr>
          <w:rFonts w:ascii="Palatino Linotype" w:hAnsi="Palatino Linotype"/>
          <w:lang w:val="en-GB"/>
        </w:rPr>
        <w:t>: 61.</w:t>
      </w:r>
    </w:p>
  </w:footnote>
  <w:footnote w:id="9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Heyberger, </w:t>
      </w:r>
      <w:r w:rsidRPr="00F8093A">
        <w:rPr>
          <w:rFonts w:ascii="Palatino Linotype" w:hAnsi="Palatino Linotype"/>
          <w:i/>
          <w:lang w:val="en-GB"/>
        </w:rPr>
        <w:t>Hindiyya</w:t>
      </w:r>
      <w:r w:rsidRPr="00F8093A">
        <w:rPr>
          <w:rFonts w:ascii="Palatino Linotype" w:hAnsi="Palatino Linotype"/>
          <w:lang w:val="en-GB"/>
        </w:rPr>
        <w:t xml:space="preserve">: 114-143; 184-306. </w:t>
      </w:r>
    </w:p>
  </w:footnote>
  <w:footnote w:id="9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t>
      </w:r>
      <w:r>
        <w:rPr>
          <w:rFonts w:ascii="Palatino Linotype" w:hAnsi="Palatino Linotype"/>
          <w:lang w:val="en-GB"/>
        </w:rPr>
        <w:t xml:space="preserve">e.g. </w:t>
      </w:r>
      <w:r w:rsidRPr="00F8093A">
        <w:rPr>
          <w:rFonts w:ascii="Palatino Linotype" w:hAnsi="Palatino Linotype"/>
          <w:lang w:val="en-GB"/>
        </w:rPr>
        <w:t xml:space="preserve">Wortabet, </w:t>
      </w:r>
      <w:r w:rsidRPr="00F8093A">
        <w:rPr>
          <w:rFonts w:ascii="Palatino Linotype" w:hAnsi="Palatino Linotype"/>
          <w:i/>
          <w:lang w:val="en-GB"/>
        </w:rPr>
        <w:t>SS</w:t>
      </w:r>
      <w:r w:rsidRPr="00F8093A">
        <w:rPr>
          <w:rFonts w:ascii="Palatino Linotype" w:hAnsi="Palatino Linotype"/>
          <w:lang w:val="en-GB"/>
        </w:rPr>
        <w:t xml:space="preserve">: 104-107; Churchill, </w:t>
      </w:r>
      <w:r w:rsidRPr="00F8093A">
        <w:rPr>
          <w:rFonts w:ascii="Palatino Linotype" w:hAnsi="Palatino Linotype"/>
          <w:i/>
          <w:lang w:val="en-GB"/>
        </w:rPr>
        <w:t>Mount Lebanon</w:t>
      </w:r>
      <w:r w:rsidRPr="00F8093A">
        <w:rPr>
          <w:rFonts w:ascii="Palatino Linotype" w:hAnsi="Palatino Linotype"/>
          <w:lang w:val="en-GB"/>
        </w:rPr>
        <w:t>: 78-85.</w:t>
      </w:r>
    </w:p>
  </w:footnote>
  <w:footnote w:id="9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Fo</w:t>
      </w:r>
      <w:r>
        <w:rPr>
          <w:rFonts w:ascii="Palatino Linotype" w:hAnsi="Palatino Linotype"/>
          <w:lang w:val="en-GB"/>
        </w:rPr>
        <w:t>r an interesting comparison see</w:t>
      </w:r>
      <w:r w:rsidRPr="00F8093A">
        <w:rPr>
          <w:rFonts w:ascii="Palatino Linotype" w:hAnsi="Palatino Linotype"/>
          <w:lang w:val="en-GB"/>
        </w:rPr>
        <w:t xml:space="preserve"> the bio/hagiography Mary Alphonsus in Jansen, ‘Visions of Mary’: 138-148.</w:t>
      </w:r>
    </w:p>
  </w:footnote>
  <w:footnote w:id="9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Francis M. Zayek, </w:t>
      </w:r>
      <w:r w:rsidRPr="00F8093A">
        <w:rPr>
          <w:rFonts w:ascii="Palatino Linotype" w:hAnsi="Palatino Linotype"/>
          <w:i/>
          <w:lang w:val="en-GB"/>
        </w:rPr>
        <w:t>Rafka: The Blind Mystic of Lebanon</w:t>
      </w:r>
      <w:r w:rsidRPr="00F8093A">
        <w:rPr>
          <w:rFonts w:ascii="Palatino Linotype" w:hAnsi="Palatino Linotype"/>
          <w:lang w:val="en-GB"/>
        </w:rPr>
        <w:t xml:space="preserve"> (Still River, Massachusetts: St. Bede’s Publications, 1980): 11-13.</w:t>
      </w:r>
    </w:p>
  </w:footnote>
  <w:footnote w:id="10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Zayek, </w:t>
      </w:r>
      <w:r w:rsidRPr="00F8093A">
        <w:rPr>
          <w:rFonts w:ascii="Palatino Linotype" w:hAnsi="Palatino Linotype"/>
          <w:i/>
          <w:lang w:val="en-GB"/>
        </w:rPr>
        <w:t>Rafka</w:t>
      </w:r>
      <w:r w:rsidRPr="00F8093A">
        <w:rPr>
          <w:rFonts w:ascii="Palatino Linotype" w:hAnsi="Palatino Linotype"/>
          <w:lang w:val="en-GB"/>
        </w:rPr>
        <w:t xml:space="preserve">: 14-16; Guita G. Hourani, ‘Blessed Rafqa: A Maronite Model in How to Love Christ, The Bridegroom of the Church’, </w:t>
      </w:r>
      <w:r w:rsidRPr="00F8093A">
        <w:rPr>
          <w:rFonts w:ascii="Palatino Linotype" w:hAnsi="Palatino Linotype"/>
          <w:i/>
          <w:lang w:val="en-GB"/>
        </w:rPr>
        <w:t>The Journal of Maronite Studies,</w:t>
      </w:r>
      <w:r w:rsidRPr="00F8093A">
        <w:rPr>
          <w:rFonts w:ascii="Palatino Linotype" w:hAnsi="Palatino Linotype"/>
          <w:lang w:val="en-GB"/>
        </w:rPr>
        <w:t xml:space="preserve"> 3:1 (1999); Guita G. Hourani, ‘The Canonization of Saint Rafqa: “Model for Mideast”’, </w:t>
      </w:r>
      <w:r w:rsidRPr="00F8093A">
        <w:rPr>
          <w:rFonts w:ascii="Palatino Linotype" w:hAnsi="Palatino Linotype"/>
          <w:i/>
          <w:lang w:val="en-GB"/>
        </w:rPr>
        <w:t xml:space="preserve">The Journal of Maronite Studies, </w:t>
      </w:r>
      <w:r w:rsidRPr="00F8093A">
        <w:rPr>
          <w:rFonts w:ascii="Palatino Linotype" w:hAnsi="Palatino Linotype"/>
          <w:lang w:val="en-GB"/>
        </w:rPr>
        <w:t>5:2(2001);  n.s., ‘Canonization of the Blessed Rafqa June 10th 2001’ (n.s., n.d.), [online], Available at: &lt;http://www.bkerke.org.lb/Rafqa/index2.htm&gt;, [accessed on 22 April 2006].</w:t>
      </w:r>
    </w:p>
  </w:footnote>
  <w:footnote w:id="10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n.s., ‘Canonization of the Blessed Rafqa June 10th 2001’.</w:t>
      </w:r>
    </w:p>
  </w:footnote>
  <w:footnote w:id="10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n.s., ‘Canonization of the Blessed Rafqa June 10th 2001’. </w:t>
      </w:r>
    </w:p>
  </w:footnote>
  <w:footnote w:id="10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Zayek, </w:t>
      </w:r>
      <w:r w:rsidRPr="00F8093A">
        <w:rPr>
          <w:rFonts w:ascii="Palatino Linotype" w:hAnsi="Palatino Linotype"/>
          <w:i/>
          <w:lang w:val="en-GB"/>
        </w:rPr>
        <w:t>Rafka</w:t>
      </w:r>
      <w:r w:rsidRPr="00F8093A">
        <w:rPr>
          <w:rFonts w:ascii="Palatino Linotype" w:hAnsi="Palatino Linotype"/>
          <w:lang w:val="en-GB"/>
        </w:rPr>
        <w:t>: 17.</w:t>
      </w:r>
    </w:p>
  </w:footnote>
  <w:footnote w:id="10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Zayek, </w:t>
      </w:r>
      <w:r w:rsidRPr="00F8093A">
        <w:rPr>
          <w:rFonts w:ascii="Palatino Linotype" w:hAnsi="Palatino Linotype"/>
          <w:i/>
          <w:lang w:val="en-GB"/>
        </w:rPr>
        <w:t>Rafka</w:t>
      </w:r>
      <w:r w:rsidRPr="00F8093A">
        <w:rPr>
          <w:rFonts w:ascii="Palatino Linotype" w:hAnsi="Palatino Linotype"/>
          <w:lang w:val="en-GB"/>
        </w:rPr>
        <w:t>: 19-22.</w:t>
      </w:r>
    </w:p>
  </w:footnote>
  <w:footnote w:id="10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n.s., ‘The Lebanese Maronite Order’.</w:t>
      </w:r>
    </w:p>
  </w:footnote>
  <w:footnote w:id="10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n.s., ‘Canonization of the Blessed Rafqa’.</w:t>
      </w:r>
    </w:p>
  </w:footnote>
  <w:footnote w:id="10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Zayek, </w:t>
      </w:r>
      <w:r w:rsidRPr="00F8093A">
        <w:rPr>
          <w:rFonts w:ascii="Palatino Linotype" w:hAnsi="Palatino Linotype"/>
          <w:i/>
          <w:lang w:val="en-GB"/>
        </w:rPr>
        <w:t>Rafka</w:t>
      </w:r>
      <w:r w:rsidRPr="00F8093A">
        <w:rPr>
          <w:rFonts w:ascii="Palatino Linotype" w:hAnsi="Palatino Linotype"/>
          <w:lang w:val="en-GB"/>
        </w:rPr>
        <w:t>: 23-59; Hourani, ‘Blessed Rafqa’; Hourani, ‘The Canonization of Saint Rafqa’; n.s.</w:t>
      </w:r>
      <w:r>
        <w:rPr>
          <w:rFonts w:ascii="Palatino Linotype" w:hAnsi="Palatino Linotype"/>
          <w:lang w:val="en-GB"/>
        </w:rPr>
        <w:t xml:space="preserve"> </w:t>
      </w:r>
      <w:r w:rsidRPr="00F8093A">
        <w:rPr>
          <w:rFonts w:ascii="Palatino Linotype" w:hAnsi="Palatino Linotype"/>
          <w:lang w:val="en-GB"/>
        </w:rPr>
        <w:t>‘Canonization of the Blessed Rafqa’.</w:t>
      </w:r>
    </w:p>
  </w:footnote>
  <w:footnote w:id="10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Khater, ‘God has Called Me to be Free’: 437-438.</w:t>
      </w:r>
    </w:p>
  </w:footnote>
  <w:footnote w:id="10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Wortabet,</w:t>
      </w:r>
      <w:r w:rsidRPr="00F8093A">
        <w:rPr>
          <w:rFonts w:ascii="Palatino Linotype" w:hAnsi="Palatino Linotype"/>
          <w:i/>
          <w:lang w:val="en-GB"/>
        </w:rPr>
        <w:t xml:space="preserve"> RRS: </w:t>
      </w:r>
      <w:r w:rsidRPr="00F8093A">
        <w:rPr>
          <w:rFonts w:ascii="Palatino Linotype" w:hAnsi="Palatino Linotype"/>
          <w:lang w:val="en-GB"/>
        </w:rPr>
        <w:t>113-116; Atiya,</w:t>
      </w:r>
      <w:r w:rsidRPr="00F8093A">
        <w:rPr>
          <w:rFonts w:ascii="Palatino Linotype" w:hAnsi="Palatino Linotype"/>
          <w:i/>
          <w:lang w:val="en-GB"/>
        </w:rPr>
        <w:t xml:space="preserve"> A History of Eastern Christianity</w:t>
      </w:r>
      <w:r w:rsidRPr="00F8093A">
        <w:rPr>
          <w:rFonts w:ascii="Palatino Linotype" w:hAnsi="Palatino Linotype"/>
          <w:lang w:val="en-GB"/>
        </w:rPr>
        <w:t xml:space="preserve">: 401; Wessel, </w:t>
      </w:r>
      <w:r w:rsidRPr="00F8093A">
        <w:rPr>
          <w:rFonts w:ascii="Palatino Linotype" w:hAnsi="Palatino Linotype"/>
          <w:i/>
          <w:lang w:val="en-GB"/>
        </w:rPr>
        <w:t>Arab and</w:t>
      </w:r>
      <w:r w:rsidRPr="00F8093A">
        <w:rPr>
          <w:rFonts w:ascii="Palatino Linotype" w:hAnsi="Palatino Linotype"/>
          <w:lang w:val="en-GB"/>
        </w:rPr>
        <w:t xml:space="preserve"> </w:t>
      </w:r>
      <w:r w:rsidRPr="00F8093A">
        <w:rPr>
          <w:rFonts w:ascii="Palatino Linotype" w:hAnsi="Palatino Linotype"/>
          <w:i/>
          <w:lang w:val="en-GB"/>
        </w:rPr>
        <w:t>Christian</w:t>
      </w:r>
      <w:r w:rsidRPr="00F8093A">
        <w:rPr>
          <w:rFonts w:ascii="Palatino Linotype" w:hAnsi="Palatino Linotype"/>
          <w:lang w:val="en-GB"/>
        </w:rPr>
        <w:t>: 104; Smith, ‘The Papal Sects of Syria’.</w:t>
      </w:r>
    </w:p>
  </w:footnote>
  <w:footnote w:id="11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Khater, ‘God has Called Me to be Free’: 438.</w:t>
      </w:r>
    </w:p>
  </w:footnote>
  <w:footnote w:id="11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Effendi, </w:t>
      </w:r>
      <w:r w:rsidRPr="00F8093A">
        <w:rPr>
          <w:rFonts w:ascii="Palatino Linotype" w:hAnsi="Palatino Linotype"/>
          <w:i/>
          <w:lang w:val="en-GB"/>
        </w:rPr>
        <w:t>The Thistle and the Cedar of Lebanon</w:t>
      </w:r>
      <w:r w:rsidRPr="00F8093A">
        <w:rPr>
          <w:rFonts w:ascii="Palatino Linotype" w:hAnsi="Palatino Linotype"/>
          <w:lang w:val="en-GB"/>
        </w:rPr>
        <w:t>: 14.</w:t>
      </w:r>
    </w:p>
  </w:footnote>
  <w:footnote w:id="11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May Davie, </w:t>
      </w:r>
      <w:r w:rsidRPr="00F8093A">
        <w:rPr>
          <w:rFonts w:ascii="Palatino Linotype" w:hAnsi="Palatino Linotype"/>
          <w:i/>
          <w:lang w:val="en-GB"/>
        </w:rPr>
        <w:t>Beyrouth: Un Siècle et Demi D’Urbanisme</w:t>
      </w:r>
      <w:r w:rsidRPr="00F8093A">
        <w:rPr>
          <w:rFonts w:ascii="Palatino Linotype" w:hAnsi="Palatino Linotype"/>
          <w:lang w:val="en-GB"/>
        </w:rPr>
        <w:t xml:space="preserve"> (Beirut: Publications de l’Orde des Ingenieurs et Architectes de Beyrouth, 2001): 13; Fawaz, </w:t>
      </w:r>
      <w:r w:rsidRPr="00F8093A">
        <w:rPr>
          <w:rFonts w:ascii="Palatino Linotype" w:hAnsi="Palatino Linotype"/>
          <w:i/>
          <w:lang w:val="en-GB"/>
        </w:rPr>
        <w:t>Merchants and Migrants</w:t>
      </w:r>
      <w:r w:rsidRPr="00F8093A">
        <w:rPr>
          <w:rFonts w:ascii="Palatino Linotype" w:hAnsi="Palatino Linotype"/>
          <w:lang w:val="en-GB"/>
        </w:rPr>
        <w:t>: 1.</w:t>
      </w:r>
    </w:p>
  </w:footnote>
  <w:footnote w:id="113">
    <w:p w:rsidR="00333418" w:rsidRPr="00F8093A" w:rsidRDefault="00333418" w:rsidP="001761FF">
      <w:pPr>
        <w:pStyle w:val="FootnoteText"/>
        <w:ind w:left="90" w:hanging="90"/>
        <w:jc w:val="both"/>
        <w:rPr>
          <w:rFonts w:ascii="Palatino Linotype" w:hAnsi="Palatino Linotype"/>
          <w:i/>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Reilly, </w:t>
      </w:r>
      <w:r w:rsidRPr="00F8093A">
        <w:rPr>
          <w:rFonts w:ascii="Palatino Linotype" w:hAnsi="Palatino Linotype"/>
          <w:i/>
          <w:lang w:val="en-GB"/>
        </w:rPr>
        <w:t>A Small Town in Syria</w:t>
      </w:r>
      <w:r w:rsidRPr="00F8093A">
        <w:rPr>
          <w:rFonts w:ascii="Palatino Linotype" w:hAnsi="Palatino Linotype"/>
          <w:lang w:val="en-GB"/>
        </w:rPr>
        <w:t xml:space="preserve">: 57; Davie, </w:t>
      </w:r>
      <w:r w:rsidRPr="00F8093A">
        <w:rPr>
          <w:rFonts w:ascii="Palatino Linotype" w:hAnsi="Palatino Linotype"/>
          <w:i/>
          <w:lang w:val="en-GB"/>
        </w:rPr>
        <w:t>Beyrouth</w:t>
      </w:r>
      <w:r w:rsidRPr="00F8093A">
        <w:rPr>
          <w:rFonts w:ascii="Palatino Linotype" w:hAnsi="Palatino Linotype"/>
          <w:lang w:val="en-GB"/>
        </w:rPr>
        <w:t>: 26.</w:t>
      </w:r>
    </w:p>
  </w:footnote>
  <w:footnote w:id="11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Ozveren, ‘The Making and Unmaking of an Ottoman Port-City’: 96, 98; Fawaz , </w:t>
      </w:r>
      <w:r w:rsidRPr="00F8093A">
        <w:rPr>
          <w:rFonts w:ascii="Palatino Linotype" w:hAnsi="Palatino Linotype"/>
          <w:i/>
          <w:lang w:val="en-GB"/>
        </w:rPr>
        <w:t>Merchants and Migrants</w:t>
      </w:r>
      <w:r w:rsidRPr="00F8093A">
        <w:rPr>
          <w:rFonts w:ascii="Palatino Linotype" w:hAnsi="Palatino Linotype"/>
          <w:lang w:val="en-GB"/>
        </w:rPr>
        <w:t>: 12.</w:t>
      </w:r>
    </w:p>
  </w:footnote>
  <w:footnote w:id="11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Friedrich Ragette, </w:t>
      </w:r>
      <w:r w:rsidRPr="00F8093A">
        <w:rPr>
          <w:rFonts w:ascii="Palatino Linotype" w:hAnsi="Palatino Linotype"/>
          <w:i/>
          <w:lang w:val="en-GB"/>
        </w:rPr>
        <w:t>Architecture in Lebanon: The Lebanese House During the 18th and 19th Centuries</w:t>
      </w:r>
      <w:r w:rsidRPr="00F8093A">
        <w:rPr>
          <w:rFonts w:ascii="Palatino Linotype" w:hAnsi="Palatino Linotype"/>
          <w:lang w:val="en-GB"/>
        </w:rPr>
        <w:t xml:space="preserve"> (Beirut, Lebanon: American University of Beirut, 1974): 19, 45.</w:t>
      </w:r>
    </w:p>
  </w:footnote>
  <w:footnote w:id="11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Ozveren, ‘The Making and Unmaking of an Ottoman Port-City’: 96; May Davie, </w:t>
      </w:r>
      <w:r w:rsidRPr="00F8093A">
        <w:rPr>
          <w:rFonts w:ascii="Palatino Linotype" w:hAnsi="Palatino Linotype"/>
          <w:i/>
          <w:lang w:val="en-GB"/>
        </w:rPr>
        <w:t>Atlas Historique Des Orthodoxes de Beyrouth et du Mont Liban: 1800-1940</w:t>
      </w:r>
      <w:r w:rsidRPr="00F8093A">
        <w:rPr>
          <w:rFonts w:ascii="Palatino Linotype" w:hAnsi="Palatino Linotype"/>
          <w:lang w:val="en-GB"/>
        </w:rPr>
        <w:t xml:space="preserve"> (Balamand: University of Balamand, 1999): 36, 48.</w:t>
      </w:r>
    </w:p>
  </w:footnote>
  <w:footnote w:id="11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Davie, </w:t>
      </w:r>
      <w:r w:rsidRPr="00F8093A">
        <w:rPr>
          <w:rFonts w:ascii="Palatino Linotype" w:hAnsi="Palatino Linotype"/>
          <w:i/>
          <w:lang w:val="en-GB"/>
        </w:rPr>
        <w:t>Atlas Historique</w:t>
      </w:r>
      <w:r w:rsidRPr="00F8093A">
        <w:rPr>
          <w:rFonts w:ascii="Palatino Linotype" w:hAnsi="Palatino Linotype"/>
          <w:lang w:val="en-GB"/>
        </w:rPr>
        <w:t>: 38; Ralph Bodenstein, ‘The Making and Remaking of Zokak el-Blat: The History of an Urban Fabric’, in Gebhardt</w:t>
      </w:r>
      <w:r w:rsidRPr="00F8093A">
        <w:rPr>
          <w:rFonts w:ascii="Palatino Linotype" w:hAnsi="Palatino Linotype"/>
          <w:i/>
          <w:lang w:val="en-GB"/>
        </w:rPr>
        <w:t>, HSSCB</w:t>
      </w:r>
      <w:r w:rsidRPr="00F8093A">
        <w:rPr>
          <w:rFonts w:ascii="Palatino Linotype" w:hAnsi="Palatino Linotype"/>
          <w:lang w:val="en-GB"/>
        </w:rPr>
        <w:t>: 39-41.</w:t>
      </w:r>
    </w:p>
  </w:footnote>
  <w:footnote w:id="11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Meier, ‘Waqf Only in Name, Not in Essence’: 201-218; Kenneth M. Cuno, ‘Was the Land of Ottoman Syria </w:t>
      </w:r>
      <w:r w:rsidRPr="00F8093A">
        <w:rPr>
          <w:rFonts w:ascii="Palatino Linotype" w:hAnsi="Palatino Linotype"/>
          <w:i/>
          <w:lang w:val="en-GB"/>
        </w:rPr>
        <w:t>Miri</w:t>
      </w:r>
      <w:r w:rsidRPr="00F8093A">
        <w:rPr>
          <w:rFonts w:ascii="Palatino Linotype" w:hAnsi="Palatino Linotype"/>
          <w:lang w:val="en-GB"/>
        </w:rPr>
        <w:t xml:space="preserve"> or </w:t>
      </w:r>
      <w:r w:rsidRPr="00F8093A">
        <w:rPr>
          <w:rFonts w:ascii="Palatino Linotype" w:hAnsi="Palatino Linotype"/>
          <w:i/>
          <w:lang w:val="en-GB"/>
        </w:rPr>
        <w:t>Milk</w:t>
      </w:r>
      <w:r w:rsidRPr="00F8093A">
        <w:rPr>
          <w:rFonts w:ascii="Palatino Linotype" w:hAnsi="Palatino Linotype"/>
          <w:lang w:val="en-GB"/>
        </w:rPr>
        <w:t xml:space="preserve">? An Examination of Juridical Differences within the Hanafi School’, </w:t>
      </w:r>
      <w:r w:rsidRPr="00F8093A">
        <w:rPr>
          <w:rFonts w:ascii="Palatino Linotype" w:hAnsi="Palatino Linotype"/>
          <w:i/>
          <w:lang w:val="en-GB"/>
        </w:rPr>
        <w:t>Studia Islamica</w:t>
      </w:r>
      <w:r w:rsidRPr="00F8093A">
        <w:rPr>
          <w:rFonts w:ascii="Palatino Linotype" w:hAnsi="Palatino Linotype"/>
          <w:lang w:val="en-GB"/>
        </w:rPr>
        <w:t xml:space="preserve">, 81 (1995): 121-152; Bodenstein, ‘The Making and Remaking of Zokak el-Blat’: 50-51, note 46; Hanssen, ‘From Social Status to Intellectual Activity’: Some Prosopograhical Observations on the Municipal Council in Beirut, 1868-1908’, in: T. Philipp and C. Schumann, (ed.), </w:t>
      </w:r>
      <w:r w:rsidRPr="00F8093A">
        <w:rPr>
          <w:rFonts w:ascii="Palatino Linotype" w:hAnsi="Palatino Linotype"/>
          <w:i/>
          <w:lang w:val="en-GB"/>
        </w:rPr>
        <w:t>From the Syrian Land to the States of Syria and Lebanon</w:t>
      </w:r>
      <w:r w:rsidRPr="00F8093A">
        <w:rPr>
          <w:rFonts w:ascii="Palatino Linotype" w:hAnsi="Palatino Linotype"/>
          <w:lang w:val="en-GB"/>
        </w:rPr>
        <w:t xml:space="preserve"> (Beirut: Orient-Institute 2004): 62-63. </w:t>
      </w:r>
    </w:p>
  </w:footnote>
  <w:footnote w:id="11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Davie, </w:t>
      </w:r>
      <w:r w:rsidRPr="00F8093A">
        <w:rPr>
          <w:rFonts w:ascii="Palatino Linotype" w:hAnsi="Palatino Linotype"/>
          <w:i/>
          <w:lang w:val="en-GB"/>
        </w:rPr>
        <w:t>Beyrouth</w:t>
      </w:r>
      <w:r w:rsidRPr="00F8093A">
        <w:rPr>
          <w:rFonts w:ascii="Palatino Linotype" w:hAnsi="Palatino Linotype"/>
          <w:lang w:val="en-GB"/>
        </w:rPr>
        <w:t>: 34</w:t>
      </w:r>
      <w:r>
        <w:rPr>
          <w:rFonts w:ascii="Palatino Linotype" w:hAnsi="Palatino Linotype"/>
          <w:lang w:val="en-GB"/>
        </w:rPr>
        <w:t>.</w:t>
      </w:r>
    </w:p>
  </w:footnote>
  <w:footnote w:id="12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Davie, </w:t>
      </w:r>
      <w:r w:rsidRPr="00F8093A">
        <w:rPr>
          <w:rFonts w:ascii="Palatino Linotype" w:hAnsi="Palatino Linotype"/>
          <w:i/>
          <w:lang w:val="en-GB"/>
        </w:rPr>
        <w:t>Beyrouth</w:t>
      </w:r>
      <w:r w:rsidRPr="00F8093A">
        <w:rPr>
          <w:rFonts w:ascii="Palatino Linotype" w:hAnsi="Palatino Linotype"/>
          <w:lang w:val="en-GB"/>
        </w:rPr>
        <w:t xml:space="preserve">: 35; Hanssen, </w:t>
      </w:r>
      <w:r w:rsidRPr="00F8093A">
        <w:rPr>
          <w:rFonts w:ascii="Palatino Linotype" w:hAnsi="Palatino Linotype"/>
          <w:i/>
          <w:lang w:val="en-GB"/>
        </w:rPr>
        <w:t>Fin de Siècle Beirut</w:t>
      </w:r>
      <w:r w:rsidRPr="00F8093A">
        <w:rPr>
          <w:rFonts w:ascii="Palatino Linotype" w:hAnsi="Palatino Linotype"/>
          <w:lang w:val="en-GB"/>
        </w:rPr>
        <w:t>: 32.</w:t>
      </w:r>
    </w:p>
  </w:footnote>
  <w:footnote w:id="12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Davie, </w:t>
      </w:r>
      <w:r w:rsidRPr="00F8093A">
        <w:rPr>
          <w:rFonts w:ascii="Palatino Linotype" w:hAnsi="Palatino Linotype"/>
          <w:i/>
          <w:lang w:val="en-GB"/>
        </w:rPr>
        <w:t>Beyrouth</w:t>
      </w:r>
      <w:r w:rsidRPr="00F8093A">
        <w:rPr>
          <w:rFonts w:ascii="Palatino Linotype" w:hAnsi="Palatino Linotype"/>
          <w:lang w:val="en-GB"/>
        </w:rPr>
        <w:t xml:space="preserve">: 34-36; Hanssen, </w:t>
      </w:r>
      <w:r w:rsidRPr="00F8093A">
        <w:rPr>
          <w:rFonts w:ascii="Palatino Linotype" w:hAnsi="Palatino Linotype"/>
          <w:i/>
          <w:lang w:val="en-GB"/>
        </w:rPr>
        <w:t>Fin de Siècle Beirut</w:t>
      </w:r>
      <w:r w:rsidRPr="00F8093A">
        <w:rPr>
          <w:rFonts w:ascii="Palatino Linotype" w:hAnsi="Palatino Linotype"/>
          <w:lang w:val="en-GB"/>
        </w:rPr>
        <w:t>: 31. Records of arrivals, departures and protests</w:t>
      </w:r>
      <w:r>
        <w:rPr>
          <w:rFonts w:ascii="Palatino Linotype" w:hAnsi="Palatino Linotype"/>
          <w:lang w:val="en-GB"/>
        </w:rPr>
        <w:t xml:space="preserve"> in Beirut’s port</w:t>
      </w:r>
      <w:r w:rsidRPr="00F8093A">
        <w:rPr>
          <w:rFonts w:ascii="Palatino Linotype" w:hAnsi="Palatino Linotype"/>
          <w:lang w:val="en-GB"/>
        </w:rPr>
        <w:t>, including lists the cargo and descriptions of</w:t>
      </w:r>
      <w:r>
        <w:rPr>
          <w:rFonts w:ascii="Palatino Linotype" w:hAnsi="Palatino Linotype"/>
          <w:lang w:val="en-GB"/>
        </w:rPr>
        <w:t xml:space="preserve"> maritime</w:t>
      </w:r>
      <w:r w:rsidRPr="00F8093A">
        <w:rPr>
          <w:rFonts w:ascii="Palatino Linotype" w:hAnsi="Palatino Linotype"/>
          <w:lang w:val="en-GB"/>
        </w:rPr>
        <w:t xml:space="preserve"> voyages from 1822 to 1939 are kept in [British] PRO: FO 616/1-5.</w:t>
      </w:r>
    </w:p>
  </w:footnote>
  <w:footnote w:id="12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Farah, </w:t>
      </w:r>
      <w:r w:rsidRPr="00F8093A">
        <w:rPr>
          <w:rFonts w:ascii="Palatino Linotype" w:hAnsi="Palatino Linotype"/>
          <w:i/>
          <w:lang w:val="en-GB"/>
        </w:rPr>
        <w:t>The Politics of Interventionalism</w:t>
      </w:r>
      <w:r w:rsidRPr="00F8093A">
        <w:rPr>
          <w:rFonts w:ascii="Palatino Linotype" w:hAnsi="Palatino Linotype"/>
          <w:lang w:val="en-GB"/>
        </w:rPr>
        <w:t xml:space="preserve">:  256; Khalaf, </w:t>
      </w:r>
      <w:r w:rsidRPr="00F8093A">
        <w:rPr>
          <w:rFonts w:ascii="Palatino Linotype" w:hAnsi="Palatino Linotype"/>
          <w:i/>
          <w:lang w:val="en-GB"/>
        </w:rPr>
        <w:t>Civil and Uncivil Violence in Lebanon</w:t>
      </w:r>
      <w:r w:rsidRPr="00F8093A">
        <w:rPr>
          <w:rFonts w:ascii="Palatino Linotype" w:hAnsi="Palatino Linotype"/>
          <w:lang w:val="en-GB"/>
        </w:rPr>
        <w:t>: 89</w:t>
      </w:r>
    </w:p>
  </w:footnote>
  <w:footnote w:id="12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Stanford J. Shaw and Ezel Kural Shaw, </w:t>
      </w:r>
      <w:r w:rsidRPr="00F8093A">
        <w:rPr>
          <w:rFonts w:ascii="Palatino Linotype" w:hAnsi="Palatino Linotype"/>
          <w:i/>
          <w:lang w:val="en-GB"/>
        </w:rPr>
        <w:t xml:space="preserve">History of the Ottoman Empire and Modern Turkey: Volume II: Reform, Revolution, and Republic: The Rise of Modern Turkey, 1808-1975 </w:t>
      </w:r>
      <w:r w:rsidRPr="00F8093A">
        <w:rPr>
          <w:rFonts w:ascii="Palatino Linotype" w:hAnsi="Palatino Linotype"/>
          <w:lang w:val="en-GB"/>
        </w:rPr>
        <w:t>(Cambridge, London, New York and Melbourn: Cambridge University Press, 1977): 134.</w:t>
      </w:r>
    </w:p>
  </w:footnote>
  <w:footnote w:id="12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Davie, </w:t>
      </w:r>
      <w:r w:rsidRPr="00F8093A">
        <w:rPr>
          <w:rFonts w:ascii="Palatino Linotype" w:hAnsi="Palatino Linotype"/>
          <w:i/>
          <w:lang w:val="en-GB"/>
        </w:rPr>
        <w:t>Beyrouth</w:t>
      </w:r>
      <w:r w:rsidRPr="00F8093A">
        <w:rPr>
          <w:rFonts w:ascii="Palatino Linotype" w:hAnsi="Palatino Linotype"/>
          <w:lang w:val="en-GB"/>
        </w:rPr>
        <w:t xml:space="preserve">: 40; Hanssen, </w:t>
      </w:r>
      <w:r w:rsidRPr="00F8093A">
        <w:rPr>
          <w:rFonts w:ascii="Palatino Linotype" w:hAnsi="Palatino Linotype"/>
          <w:i/>
          <w:lang w:val="en-GB"/>
        </w:rPr>
        <w:t>Fin de Siècle Beirut</w:t>
      </w:r>
      <w:r w:rsidRPr="00F8093A">
        <w:rPr>
          <w:rFonts w:ascii="Palatino Linotype" w:hAnsi="Palatino Linotype"/>
          <w:lang w:val="en-GB"/>
        </w:rPr>
        <w:t>: 3-6.</w:t>
      </w:r>
    </w:p>
  </w:footnote>
  <w:footnote w:id="12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Ozveren, ‘The Making and Unmaking of an Ottoman Port-City’: 159.</w:t>
      </w:r>
    </w:p>
  </w:footnote>
  <w:footnote w:id="12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t>
      </w:r>
      <w:r w:rsidRPr="00F8093A">
        <w:rPr>
          <w:rFonts w:ascii="Palatino Linotype" w:hAnsi="Palatino Linotype"/>
          <w:i/>
          <w:lang w:val="en-GB"/>
        </w:rPr>
        <w:t>MH</w:t>
      </w:r>
      <w:r w:rsidRPr="00F8093A">
        <w:rPr>
          <w:rFonts w:ascii="Palatino Linotype" w:hAnsi="Palatino Linotype"/>
          <w:lang w:val="en-GB"/>
        </w:rPr>
        <w:t xml:space="preserve"> (1856): 56-57.</w:t>
      </w:r>
    </w:p>
  </w:footnote>
  <w:footnote w:id="12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Wortabet, </w:t>
      </w:r>
      <w:r w:rsidRPr="00F8093A">
        <w:rPr>
          <w:rFonts w:ascii="Palatino Linotype" w:hAnsi="Palatino Linotype"/>
          <w:i/>
          <w:lang w:val="en-GB"/>
        </w:rPr>
        <w:t>SS:</w:t>
      </w:r>
      <w:r w:rsidRPr="00F8093A">
        <w:rPr>
          <w:rFonts w:ascii="Palatino Linotype" w:hAnsi="Palatino Linotype"/>
          <w:lang w:val="en-GB"/>
        </w:rPr>
        <w:t xml:space="preserve"> </w:t>
      </w:r>
      <w:r w:rsidRPr="00F8093A">
        <w:rPr>
          <w:rFonts w:ascii="Palatino Linotype" w:hAnsi="Palatino Linotype"/>
          <w:i/>
          <w:lang w:val="en-GB"/>
        </w:rPr>
        <w:t>I</w:t>
      </w:r>
      <w:r w:rsidRPr="00F8093A">
        <w:rPr>
          <w:rFonts w:ascii="Palatino Linotype" w:hAnsi="Palatino Linotype"/>
          <w:lang w:val="en-GB"/>
        </w:rPr>
        <w:t xml:space="preserve">: </w:t>
      </w:r>
      <w:r>
        <w:rPr>
          <w:rFonts w:ascii="Palatino Linotype" w:hAnsi="Palatino Linotype"/>
          <w:lang w:val="en-GB"/>
        </w:rPr>
        <w:t xml:space="preserve">5-7, </w:t>
      </w:r>
      <w:r w:rsidRPr="00F8093A">
        <w:rPr>
          <w:rFonts w:ascii="Palatino Linotype" w:hAnsi="Palatino Linotype"/>
          <w:lang w:val="en-GB"/>
        </w:rPr>
        <w:t>66.</w:t>
      </w:r>
    </w:p>
  </w:footnote>
  <w:footnote w:id="12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Ozveren, ‘The Making and Unmaking of an Ottoman Port-City’: 106-146; Zachs, </w:t>
      </w:r>
      <w:r w:rsidRPr="00F8093A">
        <w:rPr>
          <w:rFonts w:ascii="Palatino Linotype" w:hAnsi="Palatino Linotype"/>
          <w:i/>
          <w:lang w:val="en-GB"/>
        </w:rPr>
        <w:t>The Making of a Syrian Identity</w:t>
      </w:r>
      <w:r w:rsidRPr="00F8093A">
        <w:rPr>
          <w:rFonts w:ascii="Palatino Linotype" w:hAnsi="Palatino Linotype"/>
          <w:lang w:val="en-GB"/>
        </w:rPr>
        <w:t xml:space="preserve">: 55; Akram Fouad Khater, ‘“House” to “Goddess of the House”: Gender, Class, and Silk in 19th-Century Mount Lebanon’, </w:t>
      </w:r>
      <w:r w:rsidRPr="00F8093A">
        <w:rPr>
          <w:rFonts w:ascii="Palatino Linotype" w:hAnsi="Palatino Linotype"/>
          <w:i/>
          <w:lang w:val="en-GB"/>
        </w:rPr>
        <w:t>IJMES</w:t>
      </w:r>
      <w:r w:rsidRPr="00F8093A">
        <w:rPr>
          <w:rFonts w:ascii="Palatino Linotype" w:hAnsi="Palatino Linotype"/>
          <w:lang w:val="en-GB"/>
        </w:rPr>
        <w:t>, 28 (1996):</w:t>
      </w:r>
      <w:r w:rsidRPr="00F8093A">
        <w:rPr>
          <w:rFonts w:ascii="Palatino Linotype" w:hAnsi="Palatino Linotype"/>
          <w:i/>
          <w:lang w:val="en-GB"/>
        </w:rPr>
        <w:t xml:space="preserve"> </w:t>
      </w:r>
      <w:r w:rsidRPr="00F8093A">
        <w:rPr>
          <w:rFonts w:ascii="Palatino Linotype" w:hAnsi="Palatino Linotype"/>
          <w:lang w:val="en-GB"/>
        </w:rPr>
        <w:t>325-348.</w:t>
      </w:r>
    </w:p>
  </w:footnote>
  <w:footnote w:id="12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Effendi, </w:t>
      </w:r>
      <w:r w:rsidRPr="00F8093A">
        <w:rPr>
          <w:rFonts w:ascii="Palatino Linotype" w:hAnsi="Palatino Linotype"/>
          <w:i/>
          <w:lang w:val="en-GB"/>
        </w:rPr>
        <w:t>The Thistle and the Cedar of Lebanon</w:t>
      </w:r>
      <w:r w:rsidRPr="00F8093A">
        <w:rPr>
          <w:rFonts w:ascii="Palatino Linotype" w:hAnsi="Palatino Linotype"/>
          <w:lang w:val="en-GB"/>
        </w:rPr>
        <w:t>: 53.</w:t>
      </w:r>
    </w:p>
  </w:footnote>
  <w:footnote w:id="13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See the folders within [British] PRO: FO 616/2; FO 612/3; FO 612/4; HO 1/29/912.</w:t>
      </w:r>
    </w:p>
  </w:footnote>
  <w:footnote w:id="13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Ozveren, ‘The Making and Unmaking of an Ottoman Port-City’:104; Effendi, </w:t>
      </w:r>
      <w:r w:rsidRPr="00F8093A">
        <w:rPr>
          <w:rFonts w:ascii="Palatino Linotype" w:hAnsi="Palatino Linotype"/>
          <w:i/>
          <w:lang w:val="en-GB"/>
        </w:rPr>
        <w:t>The Thistle and the Cedar of Lebanon</w:t>
      </w:r>
      <w:r w:rsidRPr="00F8093A">
        <w:rPr>
          <w:rFonts w:ascii="Palatino Linotype" w:hAnsi="Palatino Linotype"/>
          <w:lang w:val="en-GB"/>
        </w:rPr>
        <w:t>: 92-95.</w:t>
      </w:r>
    </w:p>
  </w:footnote>
  <w:footnote w:id="13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Davie, </w:t>
      </w:r>
      <w:r w:rsidRPr="00F8093A">
        <w:rPr>
          <w:rFonts w:ascii="Palatino Linotype" w:hAnsi="Palatino Linotype"/>
          <w:i/>
          <w:lang w:val="en-GB"/>
        </w:rPr>
        <w:t>Beyrouth</w:t>
      </w:r>
      <w:r w:rsidRPr="00F8093A">
        <w:rPr>
          <w:rFonts w:ascii="Palatino Linotype" w:hAnsi="Palatino Linotype"/>
          <w:lang w:val="en-GB"/>
        </w:rPr>
        <w:t xml:space="preserve">: 39; Faruk Tabak, ‘Local Merchants in Peripheral Areas of the Empire: The Fertile Crescent during the Long Nineteenth Century’, </w:t>
      </w:r>
      <w:r w:rsidRPr="00F8093A">
        <w:rPr>
          <w:rFonts w:ascii="Palatino Linotype" w:hAnsi="Palatino Linotype"/>
          <w:i/>
          <w:lang w:val="en-GB"/>
        </w:rPr>
        <w:t xml:space="preserve">Review: </w:t>
      </w:r>
      <w:r w:rsidRPr="00F8093A">
        <w:rPr>
          <w:rFonts w:ascii="Palatino Linotype" w:hAnsi="Palatino Linotype"/>
          <w:bCs/>
          <w:i/>
          <w:lang w:val="en-GB"/>
        </w:rPr>
        <w:t>A Journal of the Fernand Braudel Center,</w:t>
      </w:r>
      <w:r w:rsidRPr="00F8093A">
        <w:rPr>
          <w:rFonts w:ascii="Palatino Linotype" w:hAnsi="Palatino Linotype"/>
          <w:b/>
          <w:bCs/>
          <w:lang w:val="en-GB"/>
        </w:rPr>
        <w:t xml:space="preserve"> </w:t>
      </w:r>
      <w:r w:rsidRPr="00F8093A">
        <w:rPr>
          <w:rFonts w:ascii="Palatino Linotype" w:hAnsi="Palatino Linotype"/>
          <w:lang w:val="en-GB"/>
        </w:rPr>
        <w:t>11:2 (1988): 190-193; Philipp, ‘Highways and Sea’: 7-8.</w:t>
      </w:r>
    </w:p>
  </w:footnote>
  <w:footnote w:id="13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Fawaz, </w:t>
      </w:r>
      <w:r w:rsidRPr="00F8093A">
        <w:rPr>
          <w:rFonts w:ascii="Palatino Linotype" w:hAnsi="Palatino Linotype"/>
          <w:i/>
          <w:lang w:val="en-GB"/>
        </w:rPr>
        <w:t>Merchants and Migrants</w:t>
      </w:r>
      <w:r w:rsidRPr="00F8093A">
        <w:rPr>
          <w:rFonts w:ascii="Palatino Linotype" w:hAnsi="Palatino Linotype"/>
          <w:lang w:val="en-GB"/>
        </w:rPr>
        <w:t>: 123.</w:t>
      </w:r>
    </w:p>
  </w:footnote>
  <w:footnote w:id="13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For example see, Kayat, </w:t>
      </w:r>
      <w:r w:rsidRPr="00F8093A">
        <w:rPr>
          <w:rFonts w:ascii="Palatino Linotype" w:hAnsi="Palatino Linotype"/>
          <w:i/>
          <w:lang w:val="en-GB"/>
        </w:rPr>
        <w:t>A Voice from Lebanon</w:t>
      </w:r>
      <w:r w:rsidRPr="00F8093A">
        <w:rPr>
          <w:rFonts w:ascii="Palatino Linotype" w:hAnsi="Palatino Linotype"/>
          <w:lang w:val="en-GB"/>
        </w:rPr>
        <w:t>: 8-42.</w:t>
      </w:r>
    </w:p>
  </w:footnote>
  <w:footnote w:id="13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Hanssen, </w:t>
      </w:r>
      <w:r w:rsidRPr="00F8093A">
        <w:rPr>
          <w:rFonts w:ascii="Palatino Linotype" w:hAnsi="Palatino Linotype"/>
          <w:i/>
          <w:lang w:val="en-GB"/>
        </w:rPr>
        <w:t>Fin de Siècle Beirut</w:t>
      </w:r>
      <w:r w:rsidRPr="00F8093A">
        <w:rPr>
          <w:rFonts w:ascii="Palatino Linotype" w:hAnsi="Palatino Linotype"/>
          <w:lang w:val="en-GB"/>
        </w:rPr>
        <w:t>: 35-36.</w:t>
      </w:r>
    </w:p>
  </w:footnote>
  <w:footnote w:id="13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Effendi, </w:t>
      </w:r>
      <w:r w:rsidRPr="00F8093A">
        <w:rPr>
          <w:rFonts w:ascii="Palatino Linotype" w:hAnsi="Palatino Linotype"/>
          <w:i/>
          <w:lang w:val="en-GB"/>
        </w:rPr>
        <w:t>The Thistle and the Cedar of Lebanon</w:t>
      </w:r>
      <w:r w:rsidRPr="00F8093A">
        <w:rPr>
          <w:rFonts w:ascii="Palatino Linotype" w:hAnsi="Palatino Linotype"/>
          <w:lang w:val="en-GB"/>
        </w:rPr>
        <w:t xml:space="preserve">: 41; Zachs, </w:t>
      </w:r>
      <w:r w:rsidRPr="00F8093A">
        <w:rPr>
          <w:rFonts w:ascii="Palatino Linotype" w:hAnsi="Palatino Linotype"/>
          <w:i/>
          <w:lang w:val="en-GB"/>
        </w:rPr>
        <w:t>The Making of a Syrian Identity</w:t>
      </w:r>
      <w:r w:rsidRPr="00F8093A">
        <w:rPr>
          <w:rFonts w:ascii="Palatino Linotype" w:hAnsi="Palatino Linotype"/>
          <w:lang w:val="en-GB"/>
        </w:rPr>
        <w:t>: 45-49.</w:t>
      </w:r>
    </w:p>
  </w:footnote>
  <w:footnote w:id="13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Fawaz, </w:t>
      </w:r>
      <w:r w:rsidRPr="00F8093A">
        <w:rPr>
          <w:rFonts w:ascii="Palatino Linotype" w:hAnsi="Palatino Linotype"/>
          <w:i/>
          <w:lang w:val="en-GB"/>
        </w:rPr>
        <w:t>Merchants and Migrants</w:t>
      </w:r>
      <w:r w:rsidRPr="00F8093A">
        <w:rPr>
          <w:rFonts w:ascii="Palatino Linotype" w:hAnsi="Palatino Linotype"/>
          <w:lang w:val="en-GB"/>
        </w:rPr>
        <w:t>: 39-42.</w:t>
      </w:r>
    </w:p>
  </w:footnote>
  <w:footnote w:id="13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Fawaz, </w:t>
      </w:r>
      <w:r w:rsidRPr="00F8093A">
        <w:rPr>
          <w:rFonts w:ascii="Palatino Linotype" w:hAnsi="Palatino Linotype"/>
          <w:i/>
          <w:lang w:val="en-GB"/>
        </w:rPr>
        <w:t>Merchants and Migrants</w:t>
      </w:r>
      <w:r w:rsidRPr="00F8093A">
        <w:rPr>
          <w:rFonts w:ascii="Palatino Linotype" w:hAnsi="Palatino Linotype"/>
          <w:lang w:val="en-GB"/>
        </w:rPr>
        <w:t xml:space="preserve">: 32. For example C. Rochefort Scott, ‘Sketch of Beyrout and Vicinity’ (1841): [British] PRO: PRO/WO/78/1000/2. </w:t>
      </w:r>
    </w:p>
  </w:footnote>
  <w:footnote w:id="13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Davie, </w:t>
      </w:r>
      <w:r w:rsidRPr="00F8093A">
        <w:rPr>
          <w:rFonts w:ascii="Palatino Linotype" w:hAnsi="Palatino Linotype"/>
          <w:i/>
          <w:lang w:val="en-GB"/>
        </w:rPr>
        <w:t>Atlas Historique</w:t>
      </w:r>
      <w:r w:rsidRPr="00F8093A">
        <w:rPr>
          <w:rFonts w:ascii="Palatino Linotype" w:hAnsi="Palatino Linotype"/>
          <w:lang w:val="en-GB"/>
        </w:rPr>
        <w:t>: 48-49.</w:t>
      </w:r>
    </w:p>
  </w:footnote>
  <w:footnote w:id="14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Ozveren, ‘The Making and Unmaking of an Ottoman Port-City’: 99, 190; ; Davie, </w:t>
      </w:r>
      <w:r w:rsidRPr="00F8093A">
        <w:rPr>
          <w:rFonts w:ascii="Palatino Linotype" w:hAnsi="Palatino Linotype"/>
          <w:i/>
          <w:lang w:val="en-GB"/>
        </w:rPr>
        <w:t>Atlas Historique</w:t>
      </w:r>
      <w:r w:rsidRPr="00F8093A">
        <w:rPr>
          <w:rFonts w:ascii="Palatino Linotype" w:hAnsi="Palatino Linotype"/>
          <w:lang w:val="en-GB"/>
        </w:rPr>
        <w:t xml:space="preserve">: 38, 52; Churchill, </w:t>
      </w:r>
      <w:r w:rsidRPr="00F8093A">
        <w:rPr>
          <w:rFonts w:ascii="Palatino Linotype" w:hAnsi="Palatino Linotype"/>
          <w:i/>
          <w:lang w:val="en-GB"/>
        </w:rPr>
        <w:t>Mount Lebanon</w:t>
      </w:r>
      <w:r w:rsidRPr="00F8093A">
        <w:rPr>
          <w:rFonts w:ascii="Palatino Linotype" w:hAnsi="Palatino Linotype"/>
          <w:lang w:val="en-GB"/>
        </w:rPr>
        <w:t xml:space="preserve">: 118; Hanessen, </w:t>
      </w:r>
      <w:r w:rsidRPr="00F8093A">
        <w:rPr>
          <w:rFonts w:ascii="Palatino Linotype" w:hAnsi="Palatino Linotype"/>
          <w:i/>
          <w:lang w:val="en-GB"/>
        </w:rPr>
        <w:t>Fin de Siècle Beirut</w:t>
      </w:r>
      <w:r w:rsidRPr="00F8093A">
        <w:rPr>
          <w:rFonts w:ascii="Palatino Linotype" w:hAnsi="Palatino Linotype"/>
          <w:lang w:val="en-GB"/>
        </w:rPr>
        <w:t xml:space="preserve">: 3.Compare with the historical development and layouts of Aleppo, Izmir and Istanbul in Edhem Eldem, Daniel Goffman and Bruce Masters, </w:t>
      </w:r>
      <w:r w:rsidRPr="00F8093A">
        <w:rPr>
          <w:rFonts w:ascii="Palatino Linotype" w:hAnsi="Palatino Linotype"/>
          <w:i/>
          <w:lang w:val="en-GB"/>
        </w:rPr>
        <w:t>The Ottoman City Between East and West: Aleppo, Izmir and Istanbul</w:t>
      </w:r>
      <w:r w:rsidRPr="00F8093A">
        <w:rPr>
          <w:rFonts w:ascii="Palatino Linotype" w:hAnsi="Palatino Linotype"/>
          <w:lang w:val="en-GB"/>
        </w:rPr>
        <w:t xml:space="preserve"> (Cambridge: Cambridge University Press, 1999). </w:t>
      </w:r>
    </w:p>
  </w:footnote>
  <w:footnote w:id="14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Ozveren, ‘The Making and Unmaking of an Ottoman Port-City’: 171-172; Jens Hanssen, ‘The Birth of an Education Quarter: Zokak el-Blat as a Cradle of Cultural Revival in the Arab World’, in: </w:t>
      </w:r>
      <w:r w:rsidRPr="00F8093A">
        <w:rPr>
          <w:rFonts w:ascii="Palatino Linotype" w:hAnsi="Palatino Linotype"/>
        </w:rPr>
        <w:t>Gebhardt</w:t>
      </w:r>
      <w:r w:rsidRPr="00F8093A">
        <w:rPr>
          <w:rFonts w:ascii="Palatino Linotype" w:hAnsi="Palatino Linotype"/>
          <w:i/>
        </w:rPr>
        <w:t>, HSSCB</w:t>
      </w:r>
      <w:r w:rsidRPr="00F8093A">
        <w:rPr>
          <w:rFonts w:ascii="Palatino Linotype" w:hAnsi="Palatino Linotype"/>
        </w:rPr>
        <w:t>: 143-174.</w:t>
      </w:r>
      <w:r w:rsidRPr="00F8093A">
        <w:rPr>
          <w:rFonts w:ascii="Palatino Linotype" w:hAnsi="Palatino Linotype"/>
          <w:lang w:val="en-GB"/>
        </w:rPr>
        <w:t xml:space="preserve"> It was not until 1867 when foreigners were able to directly purchase and own real estate in the Ottoman Empire. Abdulkarim Rafeq referenced in Bodenstein, ‘The Making and Remaking of Zokak el-Blat’: 60; Marc Aymes, ‘The Port-City in the Fields: Investigating an Improper Urbanity in mid-19th Century Cyprus’, presented at: Eight Mediterranean Social and Political Research Meeting, Florence &amp; Montecatini Terme, 21-25 March 2007, Organised by the Mediterranean Programme of the Robert Schuman Centre for Advanced Studies at the European University Institute (Montecatini Terme, 2007).</w:t>
      </w:r>
    </w:p>
  </w:footnote>
  <w:footnote w:id="14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Wortabet, </w:t>
      </w:r>
      <w:r w:rsidRPr="00F8093A">
        <w:rPr>
          <w:rFonts w:ascii="Palatino Linotype" w:hAnsi="Palatino Linotype"/>
          <w:i/>
          <w:lang w:val="en-GB"/>
        </w:rPr>
        <w:t>SS</w:t>
      </w:r>
      <w:r w:rsidRPr="00F8093A">
        <w:rPr>
          <w:rFonts w:ascii="Palatino Linotype" w:hAnsi="Palatino Linotype"/>
          <w:lang w:val="en-GB"/>
        </w:rPr>
        <w:t xml:space="preserve">: </w:t>
      </w:r>
      <w:r w:rsidRPr="00F8093A">
        <w:rPr>
          <w:rFonts w:ascii="Palatino Linotype" w:hAnsi="Palatino Linotype"/>
          <w:i/>
          <w:lang w:val="en-GB"/>
        </w:rPr>
        <w:t>I</w:t>
      </w:r>
      <w:r w:rsidRPr="00F8093A">
        <w:rPr>
          <w:rFonts w:ascii="Palatino Linotype" w:hAnsi="Palatino Linotype"/>
          <w:lang w:val="en-GB"/>
        </w:rPr>
        <w:t>: 75-77.</w:t>
      </w:r>
    </w:p>
  </w:footnote>
  <w:footnote w:id="143">
    <w:p w:rsidR="00333418" w:rsidRPr="00F8093A" w:rsidRDefault="00333418" w:rsidP="001761FF">
      <w:pPr>
        <w:pStyle w:val="FootnoteText"/>
        <w:ind w:left="90" w:hanging="90"/>
        <w:jc w:val="both"/>
        <w:rPr>
          <w:rFonts w:ascii="Palatino Linotype" w:hAnsi="Palatino Linotype"/>
          <w:b/>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Ragette, </w:t>
      </w:r>
      <w:r w:rsidRPr="00F8093A">
        <w:rPr>
          <w:rFonts w:ascii="Palatino Linotype" w:hAnsi="Palatino Linotype"/>
          <w:i/>
          <w:lang w:val="en-GB"/>
        </w:rPr>
        <w:t>Architecture in Lebanon</w:t>
      </w:r>
      <w:r w:rsidRPr="00F8093A">
        <w:rPr>
          <w:rFonts w:ascii="Palatino Linotype" w:hAnsi="Palatino Linotype"/>
          <w:lang w:val="en-GB"/>
        </w:rPr>
        <w:t>: 182.</w:t>
      </w:r>
    </w:p>
  </w:footnote>
  <w:footnote w:id="14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Davie, </w:t>
      </w:r>
      <w:r w:rsidRPr="00F8093A">
        <w:rPr>
          <w:rFonts w:ascii="Palatino Linotype" w:hAnsi="Palatino Linotype"/>
          <w:i/>
          <w:lang w:val="en-GB"/>
        </w:rPr>
        <w:t>Beyrouth</w:t>
      </w:r>
      <w:r w:rsidRPr="00F8093A">
        <w:rPr>
          <w:rFonts w:ascii="Palatino Linotype" w:hAnsi="Palatino Linotype"/>
          <w:lang w:val="en-GB"/>
        </w:rPr>
        <w:t>: 21-22.</w:t>
      </w:r>
    </w:p>
  </w:footnote>
  <w:footnote w:id="145">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Davie, </w:t>
      </w:r>
      <w:r w:rsidRPr="00F8093A">
        <w:rPr>
          <w:rFonts w:ascii="Palatino Linotype" w:hAnsi="Palatino Linotype"/>
          <w:i/>
          <w:lang w:val="en-GB"/>
        </w:rPr>
        <w:t>Beyrouth</w:t>
      </w:r>
      <w:r w:rsidRPr="00F8093A">
        <w:rPr>
          <w:rFonts w:ascii="Palatino Linotype" w:hAnsi="Palatino Linotype"/>
          <w:lang w:val="en-GB"/>
        </w:rPr>
        <w:t>: 22.</w:t>
      </w:r>
    </w:p>
  </w:footnote>
  <w:footnote w:id="14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Semaan Kfoury, ‘La Maison a Hall Central au Liban: Origines, Influences, Identities’, in: M. Davie, (ed.), </w:t>
      </w:r>
      <w:r w:rsidRPr="00F8093A">
        <w:rPr>
          <w:rFonts w:ascii="Palatino Linotype" w:hAnsi="Palatino Linotype"/>
          <w:i/>
          <w:lang w:val="en-GB"/>
        </w:rPr>
        <w:t>La Maison Beyrouthine Aux Trois Arcs: Une Archetecture Bourgeoise du Levant</w:t>
      </w:r>
      <w:r w:rsidRPr="00F8093A">
        <w:rPr>
          <w:rFonts w:ascii="Palatino Linotype" w:hAnsi="Palatino Linotype"/>
          <w:lang w:val="en-GB"/>
        </w:rPr>
        <w:t xml:space="preserve"> (Beirut et Tours: ALBA, 2003): 50; Davie, </w:t>
      </w:r>
      <w:r w:rsidRPr="00F8093A">
        <w:rPr>
          <w:rFonts w:ascii="Palatino Linotype" w:hAnsi="Palatino Linotype"/>
          <w:i/>
          <w:lang w:val="en-GB"/>
        </w:rPr>
        <w:t>Beyrouth</w:t>
      </w:r>
      <w:r w:rsidRPr="00F8093A">
        <w:rPr>
          <w:rFonts w:ascii="Palatino Linotype" w:hAnsi="Palatino Linotype"/>
          <w:lang w:val="en-GB"/>
        </w:rPr>
        <w:t>: 47.</w:t>
      </w:r>
      <w:r>
        <w:rPr>
          <w:rFonts w:ascii="Palatino Linotype" w:hAnsi="Palatino Linotype"/>
          <w:lang w:val="en-GB"/>
        </w:rPr>
        <w:t xml:space="preserve"> </w:t>
      </w:r>
      <w:r w:rsidRPr="000667AA">
        <w:rPr>
          <w:rFonts w:ascii="Palatino Linotype" w:hAnsi="Palatino Linotype"/>
        </w:rPr>
        <w:t xml:space="preserve">Compare with Pollard’s study of houses in nineteenth century Egypt. Lisa </w:t>
      </w:r>
      <w:r w:rsidRPr="000667AA">
        <w:rPr>
          <w:rFonts w:ascii="Palatino Linotype" w:hAnsi="Palatino Linotype"/>
          <w:lang w:val="en-GB"/>
        </w:rPr>
        <w:t xml:space="preserve">Pollard, </w:t>
      </w:r>
      <w:r w:rsidRPr="000667AA">
        <w:rPr>
          <w:rFonts w:ascii="Palatino Linotype" w:hAnsi="Palatino Linotype"/>
          <w:i/>
          <w:lang w:val="en-GB"/>
        </w:rPr>
        <w:t>Nurturing the Nation: The Family Politics of Modernizing, Colonizing, and Liberating Egypt, 1805-1923</w:t>
      </w:r>
      <w:r w:rsidRPr="000667AA">
        <w:rPr>
          <w:rFonts w:ascii="Palatino Linotype" w:hAnsi="Palatino Linotype"/>
          <w:lang w:val="en-GB"/>
        </w:rPr>
        <w:t xml:space="preserve"> (Berkley, Los Angeles and London: University of California Press, 2005).</w:t>
      </w:r>
    </w:p>
  </w:footnote>
  <w:footnote w:id="14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Kfoury, ‘La Maison a Hall Central au Liban’: 49.</w:t>
      </w:r>
    </w:p>
  </w:footnote>
  <w:footnote w:id="14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Anne Mollenhauer, ‘Reading Late Ottoman Architecture: Exterior Expression and Interior Organization of Central-Hall Houses Between Beirut and Lattakia’, in: M. Davie, (ed.), </w:t>
      </w:r>
      <w:r w:rsidRPr="00F8093A">
        <w:rPr>
          <w:rFonts w:ascii="Palatino Linotype" w:hAnsi="Palatino Linotype"/>
          <w:i/>
          <w:lang w:val="en-GB"/>
        </w:rPr>
        <w:t>La Maison Beyrouthine Aux Trois Arcs: Une Archetecture Bourgeoise du Levant</w:t>
      </w:r>
      <w:r w:rsidRPr="00F8093A">
        <w:rPr>
          <w:rFonts w:ascii="Palatino Linotype" w:hAnsi="Palatino Linotype"/>
          <w:lang w:val="en-GB"/>
        </w:rPr>
        <w:t xml:space="preserve"> (Beirut et Tours: ALBA, 2003): 130-131; Ragette, </w:t>
      </w:r>
      <w:r w:rsidRPr="00F8093A">
        <w:rPr>
          <w:rFonts w:ascii="Palatino Linotype" w:hAnsi="Palatino Linotype"/>
          <w:i/>
          <w:lang w:val="en-GB"/>
        </w:rPr>
        <w:t>Architecture in Lebanon</w:t>
      </w:r>
      <w:r w:rsidRPr="00F8093A">
        <w:rPr>
          <w:rFonts w:ascii="Palatino Linotype" w:hAnsi="Palatino Linotype"/>
          <w:lang w:val="en-GB"/>
        </w:rPr>
        <w:t>: 106. A later aspect of the Triple-Arched house was red-tiling roofing, which, although not originating with the Protestant Circle, became a symbol of the Syrian Protestant College (later AUB).</w:t>
      </w:r>
    </w:p>
  </w:footnote>
  <w:footnote w:id="14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Kfoury, ‘La Maison a Hall Central au Liban’: 34, 45</w:t>
      </w:r>
      <w:r>
        <w:rPr>
          <w:rFonts w:ascii="Palatino Linotype" w:hAnsi="Palatino Linotype"/>
          <w:lang w:val="en-GB"/>
        </w:rPr>
        <w:t>.</w:t>
      </w:r>
    </w:p>
  </w:footnote>
  <w:footnote w:id="150">
    <w:p w:rsidR="00333418" w:rsidRPr="00C16C5E" w:rsidRDefault="00333418" w:rsidP="001761FF">
      <w:pPr>
        <w:pStyle w:val="FootnoteText"/>
        <w:ind w:left="90" w:hanging="90"/>
        <w:jc w:val="both"/>
        <w:rPr>
          <w:rFonts w:ascii="Palatino Linotype" w:hAnsi="Palatino Linotype"/>
          <w:lang w:val="en-GB"/>
        </w:rPr>
      </w:pPr>
      <w:r w:rsidRPr="00C16C5E">
        <w:rPr>
          <w:rStyle w:val="FootnoteReference"/>
          <w:rFonts w:ascii="Palatino Linotype" w:hAnsi="Palatino Linotype"/>
          <w:lang w:val="en-GB"/>
        </w:rPr>
        <w:footnoteRef/>
      </w:r>
      <w:r w:rsidRPr="00C16C5E">
        <w:rPr>
          <w:rFonts w:ascii="Palatino Linotype" w:hAnsi="Palatino Linotype"/>
          <w:lang w:val="en-GB"/>
        </w:rPr>
        <w:t xml:space="preserve"> Ragette, </w:t>
      </w:r>
      <w:r w:rsidRPr="00C16C5E">
        <w:rPr>
          <w:rFonts w:ascii="Palatino Linotype" w:hAnsi="Palatino Linotype"/>
          <w:i/>
          <w:lang w:val="en-GB"/>
        </w:rPr>
        <w:t>Architecture in Lebanon</w:t>
      </w:r>
      <w:r w:rsidRPr="00C16C5E">
        <w:rPr>
          <w:rFonts w:ascii="Palatino Linotype" w:hAnsi="Palatino Linotype"/>
          <w:lang w:val="en-GB"/>
        </w:rPr>
        <w:t>: 113.</w:t>
      </w:r>
    </w:p>
  </w:footnote>
  <w:footnote w:id="151">
    <w:p w:rsidR="00333418" w:rsidRDefault="00333418" w:rsidP="001761FF">
      <w:pPr>
        <w:pStyle w:val="FootnoteText"/>
        <w:ind w:left="90" w:hanging="90"/>
        <w:jc w:val="both"/>
      </w:pPr>
      <w:r w:rsidRPr="00C16C5E">
        <w:rPr>
          <w:rStyle w:val="FootnoteReference"/>
          <w:rFonts w:ascii="Palatino Linotype" w:hAnsi="Palatino Linotype"/>
        </w:rPr>
        <w:footnoteRef/>
      </w:r>
      <w:r w:rsidRPr="00C16C5E">
        <w:rPr>
          <w:rFonts w:ascii="Palatino Linotype" w:hAnsi="Palatino Linotype"/>
        </w:rPr>
        <w:t xml:space="preserve"> May</w:t>
      </w:r>
      <w:r w:rsidRPr="00C16C5E">
        <w:rPr>
          <w:rFonts w:ascii="Palatino Linotype" w:hAnsi="Palatino Linotype"/>
          <w:sz w:val="24"/>
          <w:szCs w:val="24"/>
        </w:rPr>
        <w:t xml:space="preserve"> </w:t>
      </w:r>
      <w:r w:rsidRPr="00C16C5E">
        <w:rPr>
          <w:rFonts w:ascii="Palatino Linotype" w:hAnsi="Palatino Linotype"/>
        </w:rPr>
        <w:t>Davie, ‘Maisons Traditionnelles de Beyrouth: Typologie, Culture Domestique, Valeur Patrimoniale. Volume 1: Le Secteur de Rmeil-Médawwar’ (Beirut: APSAD and CEHVI, 2004): 33-36.</w:t>
      </w:r>
    </w:p>
  </w:footnote>
  <w:footnote w:id="15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rPr>
        <w:footnoteRef/>
      </w:r>
      <w:r w:rsidRPr="00F8093A">
        <w:rPr>
          <w:rFonts w:ascii="Palatino Linotype" w:hAnsi="Palatino Linotype"/>
        </w:rPr>
        <w:t xml:space="preserve"> </w:t>
      </w:r>
      <w:r w:rsidRPr="00F8093A">
        <w:rPr>
          <w:rFonts w:ascii="Palatino Linotype" w:hAnsi="Palatino Linotype"/>
          <w:lang w:val="en-GB"/>
        </w:rPr>
        <w:t xml:space="preserve">Mollenhauer, ‘Reading Late Ottoman Architecture’: 129; Christine Lindner, ‘Problematising the “Modern”: An Exploration of the Homes and Families of the American Protestant Missionaries and Syrian Protestants in Ottoman Syria from 1823 to 1860’, Presented at: ‘New Directions in Studies of the Arab World’: The First Annual Graduate Workshop. CASAW-University of Edinburgh, 13 September 2007. </w:t>
      </w:r>
    </w:p>
  </w:footnote>
  <w:footnote w:id="15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Emphasis in original. George Whiting and William M. Thomson ‘On the Results of Past Labours in the Mission’ (Beirut, 10 April 1844): ABCFM microfilm Unit 5: Near East: Reel 538: 53B-56B. </w:t>
      </w:r>
    </w:p>
  </w:footnote>
  <w:footnote w:id="15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Badr, ‘Missions to “Nominal Christians”’: 8.</w:t>
      </w:r>
    </w:p>
  </w:footnote>
  <w:footnote w:id="155">
    <w:p w:rsidR="00333418" w:rsidRPr="00EB3698" w:rsidRDefault="00333418" w:rsidP="001761FF">
      <w:pPr>
        <w:pStyle w:val="FootnoteText"/>
        <w:ind w:left="90" w:hanging="90"/>
        <w:rPr>
          <w:rFonts w:ascii="Palatino Linotype" w:hAnsi="Palatino Linotype"/>
        </w:rPr>
      </w:pPr>
      <w:r w:rsidRPr="00EB3698">
        <w:rPr>
          <w:rStyle w:val="FootnoteReference"/>
          <w:rFonts w:ascii="Palatino Linotype" w:hAnsi="Palatino Linotype"/>
        </w:rPr>
        <w:footnoteRef/>
      </w:r>
      <w:r w:rsidRPr="00EB3698">
        <w:rPr>
          <w:rFonts w:ascii="Palatino Linotype" w:hAnsi="Palatino Linotype"/>
        </w:rPr>
        <w:t xml:space="preserve"> </w:t>
      </w:r>
      <w:r w:rsidRPr="00EB3698">
        <w:rPr>
          <w:rFonts w:ascii="Palatino Linotype" w:hAnsi="Palatino Linotype"/>
          <w:lang w:val="en-GB"/>
        </w:rPr>
        <w:t xml:space="preserve">Tibawi, </w:t>
      </w:r>
      <w:r w:rsidRPr="00EB3698">
        <w:rPr>
          <w:rFonts w:ascii="Palatino Linotype" w:hAnsi="Palatino Linotype"/>
          <w:i/>
          <w:lang w:val="en-GB"/>
        </w:rPr>
        <w:t>American Interests in Syria</w:t>
      </w:r>
      <w:r w:rsidRPr="00EB3698">
        <w:rPr>
          <w:rFonts w:ascii="Palatino Linotype" w:hAnsi="Palatino Linotype"/>
          <w:lang w:val="en-GB"/>
        </w:rPr>
        <w:t xml:space="preserve">: 84; Caesar E. Farah, ‘Protestantism and British Diplomacy in Syria’, </w:t>
      </w:r>
      <w:r w:rsidRPr="00EB3698">
        <w:rPr>
          <w:rFonts w:ascii="Palatino Linotype" w:hAnsi="Palatino Linotype"/>
          <w:i/>
          <w:lang w:val="en-GB"/>
        </w:rPr>
        <w:t>IJMES</w:t>
      </w:r>
      <w:r w:rsidRPr="00EB3698">
        <w:rPr>
          <w:rFonts w:ascii="Palatino Linotype" w:hAnsi="Palatino Linotype"/>
          <w:lang w:val="en-GB"/>
        </w:rPr>
        <w:t>, 7:3 (1976): 325 note 12.</w:t>
      </w:r>
    </w:p>
  </w:footnote>
  <w:footnote w:id="15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t>
      </w:r>
      <w:r w:rsidRPr="00F8093A">
        <w:rPr>
          <w:rFonts w:ascii="Palatino Linotype" w:hAnsi="Palatino Linotype"/>
          <w:i/>
          <w:lang w:val="en-GB"/>
        </w:rPr>
        <w:t>MH</w:t>
      </w:r>
      <w:r w:rsidRPr="00F8093A">
        <w:rPr>
          <w:rFonts w:ascii="Palatino Linotype" w:hAnsi="Palatino Linotype"/>
          <w:lang w:val="en-GB"/>
        </w:rPr>
        <w:t xml:space="preserve"> (1826): 5; Mishaqa, </w:t>
      </w:r>
      <w:r w:rsidRPr="00F8093A">
        <w:rPr>
          <w:rFonts w:ascii="Palatino Linotype" w:hAnsi="Palatino Linotype"/>
          <w:i/>
          <w:lang w:val="en-GB"/>
        </w:rPr>
        <w:t>Murder, Mayhem, Pillage and Plunder</w:t>
      </w:r>
      <w:r w:rsidRPr="00F8093A">
        <w:rPr>
          <w:rFonts w:ascii="Palatino Linotype" w:hAnsi="Palatino Linotype"/>
          <w:lang w:val="en-GB"/>
        </w:rPr>
        <w:t xml:space="preserve">: 205. Eli Smith’s bills from 1838-1839 were written in Italian, see HHL: </w:t>
      </w:r>
      <w:r>
        <w:rPr>
          <w:rFonts w:ascii="Palatino Linotype" w:hAnsi="Palatino Linotype"/>
          <w:lang w:val="en-GB"/>
        </w:rPr>
        <w:t>ABC 60 (</w:t>
      </w:r>
      <w:r w:rsidRPr="00F8093A">
        <w:rPr>
          <w:rFonts w:ascii="Palatino Linotype" w:hAnsi="Palatino Linotype"/>
          <w:lang w:val="en-GB"/>
        </w:rPr>
        <w:t>128</w:t>
      </w:r>
      <w:r>
        <w:rPr>
          <w:rFonts w:ascii="Palatino Linotype" w:hAnsi="Palatino Linotype"/>
          <w:lang w:val="en-GB"/>
        </w:rPr>
        <w:t>)</w:t>
      </w:r>
      <w:r w:rsidRPr="00F8093A">
        <w:rPr>
          <w:rFonts w:ascii="Palatino Linotype" w:hAnsi="Palatino Linotype"/>
          <w:lang w:val="en-GB"/>
        </w:rPr>
        <w:t>.</w:t>
      </w:r>
    </w:p>
  </w:footnote>
  <w:footnote w:id="15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Kayat, </w:t>
      </w:r>
      <w:r w:rsidRPr="00F8093A">
        <w:rPr>
          <w:rFonts w:ascii="Palatino Linotype" w:hAnsi="Palatino Linotype"/>
          <w:i/>
          <w:lang w:val="en-GB"/>
        </w:rPr>
        <w:t>A Voice from Lebanon</w:t>
      </w:r>
      <w:r w:rsidRPr="00F8093A">
        <w:rPr>
          <w:rFonts w:ascii="Palatino Linotype" w:hAnsi="Palatino Linotype"/>
          <w:lang w:val="en-GB"/>
        </w:rPr>
        <w:t xml:space="preserve">: 35; </w:t>
      </w:r>
      <w:r w:rsidRPr="00F8093A">
        <w:rPr>
          <w:rFonts w:ascii="Palatino Linotype" w:hAnsi="Palatino Linotype"/>
          <w:i/>
          <w:lang w:val="en-GB"/>
        </w:rPr>
        <w:t>MH</w:t>
      </w:r>
      <w:r w:rsidRPr="00F8093A">
        <w:rPr>
          <w:rFonts w:ascii="Palatino Linotype" w:hAnsi="Palatino Linotype"/>
          <w:lang w:val="en-GB"/>
        </w:rPr>
        <w:t xml:space="preserve"> (1834): 412; Tibawi, ‘The American Missionaries in Beirut’: 147.</w:t>
      </w:r>
    </w:p>
  </w:footnote>
  <w:footnote w:id="158">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Henry DeForest, ‘Journal’ (n.s., 1842): ABCFM microfilm Unit 5: Near East: Reel 539: 550B-562; Henrietta Smith, ‘Letter to Sister’ (Beirut, 15 March 1847): YDS: ES Box 1: Folder 17.</w:t>
      </w:r>
    </w:p>
  </w:footnote>
  <w:footnote w:id="15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ABCFM, </w:t>
      </w:r>
      <w:r w:rsidRPr="00F8093A">
        <w:rPr>
          <w:rFonts w:ascii="Palatino Linotype" w:hAnsi="Palatino Linotype"/>
          <w:i/>
          <w:lang w:val="en-GB"/>
        </w:rPr>
        <w:t>Annual Report</w:t>
      </w:r>
      <w:r w:rsidRPr="00F8093A">
        <w:rPr>
          <w:rFonts w:ascii="Palatino Linotype" w:hAnsi="Palatino Linotype"/>
          <w:lang w:val="en-GB"/>
        </w:rPr>
        <w:t xml:space="preserve"> (Beirut, 1835).</w:t>
      </w:r>
    </w:p>
  </w:footnote>
  <w:footnote w:id="16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t>
      </w:r>
      <w:r w:rsidRPr="00F8093A">
        <w:rPr>
          <w:rFonts w:ascii="Palatino Linotype" w:hAnsi="Palatino Linotype"/>
          <w:i/>
          <w:lang w:val="en-GB"/>
        </w:rPr>
        <w:t>MH</w:t>
      </w:r>
      <w:r w:rsidRPr="00F8093A">
        <w:rPr>
          <w:rFonts w:ascii="Palatino Linotype" w:hAnsi="Palatino Linotype"/>
          <w:lang w:val="en-GB"/>
        </w:rPr>
        <w:t xml:space="preserve"> (1826): 354.</w:t>
      </w:r>
    </w:p>
  </w:footnote>
  <w:footnote w:id="16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Jonas King in Murre van-den Berg, ‘Simply by Giving to Them Maccaroni’: 75.</w:t>
      </w:r>
    </w:p>
  </w:footnote>
  <w:footnote w:id="162">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Badr, ‘Missions to “Nominal Christians”’: 96.</w:t>
      </w:r>
    </w:p>
  </w:footnote>
  <w:footnote w:id="163">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rPr>
        <w:footnoteRef/>
      </w:r>
      <w:r w:rsidRPr="00F8093A">
        <w:rPr>
          <w:rFonts w:ascii="Palatino Linotype" w:hAnsi="Palatino Linotype"/>
        </w:rPr>
        <w:t xml:space="preserve"> For example, an American catholic was given a British passport in 1824. n.s., ‘Passport given to the Rev. Samuel Cooper, American Catholic’</w:t>
      </w:r>
      <w:r>
        <w:rPr>
          <w:rFonts w:ascii="Palatino Linotype" w:hAnsi="Palatino Linotype"/>
        </w:rPr>
        <w:t>.</w:t>
      </w:r>
      <w:r w:rsidRPr="00F8093A">
        <w:rPr>
          <w:rFonts w:ascii="Palatino Linotype" w:hAnsi="Palatino Linotype"/>
          <w:lang w:val="en-GB"/>
        </w:rPr>
        <w:t xml:space="preserve"> </w:t>
      </w:r>
    </w:p>
  </w:footnote>
  <w:footnote w:id="164">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Badr, ‘American Protestant Missionary Beginnings’: 214; Salt, ‘Troub</w:t>
      </w:r>
      <w:r>
        <w:rPr>
          <w:rFonts w:ascii="Palatino Linotype" w:hAnsi="Palatino Linotype"/>
          <w:lang w:val="en-GB"/>
        </w:rPr>
        <w:t xml:space="preserve">le Wherever They Went’: 148-149; </w:t>
      </w:r>
      <w:r w:rsidRPr="00F8093A">
        <w:rPr>
          <w:rFonts w:ascii="Palatino Linotype" w:hAnsi="Palatino Linotype"/>
          <w:i/>
          <w:lang w:val="en-GB"/>
        </w:rPr>
        <w:t>MH</w:t>
      </w:r>
      <w:r w:rsidRPr="00F8093A">
        <w:rPr>
          <w:rFonts w:ascii="Palatino Linotype" w:hAnsi="Palatino Linotype"/>
          <w:lang w:val="en-GB"/>
        </w:rPr>
        <w:t xml:space="preserve"> (1837): 444.</w:t>
      </w:r>
    </w:p>
  </w:footnote>
  <w:footnote w:id="165">
    <w:p w:rsidR="00333418" w:rsidRPr="00E85753" w:rsidRDefault="00333418" w:rsidP="001761FF">
      <w:pPr>
        <w:pStyle w:val="FootnoteText"/>
        <w:rPr>
          <w:rFonts w:ascii="Palatino Linotype" w:hAnsi="Palatino Linotype"/>
        </w:rPr>
      </w:pPr>
      <w:r w:rsidRPr="00E85753">
        <w:rPr>
          <w:rStyle w:val="FootnoteReference"/>
          <w:rFonts w:ascii="Palatino Linotype" w:hAnsi="Palatino Linotype"/>
        </w:rPr>
        <w:footnoteRef/>
      </w:r>
      <w:r w:rsidRPr="00E85753">
        <w:rPr>
          <w:rFonts w:ascii="Palatino Linotype" w:hAnsi="Palatino Linotype"/>
        </w:rPr>
        <w:t xml:space="preserve"> Jansen</w:t>
      </w:r>
      <w:r>
        <w:rPr>
          <w:rFonts w:ascii="Palatino Linotype" w:hAnsi="Palatino Linotype"/>
        </w:rPr>
        <w:t>,</w:t>
      </w:r>
      <w:r w:rsidRPr="00E85753">
        <w:rPr>
          <w:rFonts w:ascii="Palatino Linotype" w:hAnsi="Palatino Linotype"/>
        </w:rPr>
        <w:t xml:space="preserve"> </w:t>
      </w:r>
      <w:r w:rsidRPr="00E85753">
        <w:rPr>
          <w:rFonts w:ascii="Palatino Linotype" w:hAnsi="Palatino Linotype"/>
          <w:lang w:val="en-GB"/>
        </w:rPr>
        <w:t>‘Visions of Mary’: 140.</w:t>
      </w:r>
    </w:p>
  </w:footnote>
  <w:footnote w:id="166">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Wortabet,</w:t>
      </w:r>
      <w:r w:rsidRPr="00F8093A">
        <w:rPr>
          <w:rFonts w:ascii="Palatino Linotype" w:hAnsi="Palatino Linotype"/>
          <w:i/>
          <w:lang w:val="en-GB"/>
        </w:rPr>
        <w:t xml:space="preserve"> RRS: </w:t>
      </w:r>
      <w:r w:rsidRPr="00F8093A">
        <w:rPr>
          <w:rFonts w:ascii="Palatino Linotype" w:hAnsi="Palatino Linotype"/>
          <w:lang w:val="en-GB"/>
        </w:rPr>
        <w:t xml:space="preserve">370-372; Badr, </w:t>
      </w:r>
      <w:r>
        <w:rPr>
          <w:rFonts w:ascii="Palatino Linotype" w:hAnsi="Palatino Linotype"/>
          <w:lang w:val="en-GB"/>
        </w:rPr>
        <w:t>‘</w:t>
      </w:r>
      <w:r w:rsidRPr="00F8093A">
        <w:rPr>
          <w:rFonts w:ascii="Palatino Linotype" w:hAnsi="Palatino Linotype"/>
          <w:lang w:val="en-GB"/>
        </w:rPr>
        <w:t>American Protestant Missionary Beginnings</w:t>
      </w:r>
      <w:r>
        <w:rPr>
          <w:rFonts w:ascii="Palatino Linotype" w:hAnsi="Palatino Linotype"/>
          <w:lang w:val="en-GB"/>
        </w:rPr>
        <w:t>’</w:t>
      </w:r>
      <w:r w:rsidRPr="00F8093A">
        <w:rPr>
          <w:rFonts w:ascii="Palatino Linotype" w:hAnsi="Palatino Linotype"/>
          <w:lang w:val="en-GB"/>
        </w:rPr>
        <w:t>: 214 note 8.</w:t>
      </w:r>
    </w:p>
  </w:footnote>
  <w:footnote w:id="167">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Bond, </w:t>
      </w:r>
      <w:r w:rsidRPr="00F8093A">
        <w:rPr>
          <w:rFonts w:ascii="Palatino Linotype" w:hAnsi="Palatino Linotype"/>
          <w:i/>
          <w:lang w:val="en-GB"/>
        </w:rPr>
        <w:t>Memoir of the Rev. Pliny Fisk</w:t>
      </w:r>
      <w:r w:rsidRPr="00F8093A">
        <w:rPr>
          <w:rFonts w:ascii="Palatino Linotype" w:hAnsi="Palatino Linotype"/>
          <w:lang w:val="en-GB"/>
        </w:rPr>
        <w:t>: 322.</w:t>
      </w:r>
    </w:p>
  </w:footnote>
  <w:footnote w:id="168">
    <w:p w:rsidR="00333418" w:rsidRPr="00F8093A" w:rsidRDefault="00333418" w:rsidP="001761FF">
      <w:pPr>
        <w:pStyle w:val="FootnoteText"/>
        <w:ind w:left="90" w:hanging="90"/>
        <w:jc w:val="both"/>
        <w:rPr>
          <w:rFonts w:ascii="Palatino Linotype" w:hAnsi="Palatino Linotype"/>
        </w:rPr>
      </w:pPr>
      <w:r w:rsidRPr="00F8093A">
        <w:rPr>
          <w:rStyle w:val="FootnoteReference"/>
          <w:rFonts w:ascii="Palatino Linotype" w:hAnsi="Palatino Linotype"/>
        </w:rPr>
        <w:footnoteRef/>
      </w:r>
      <w:r w:rsidRPr="00F8093A">
        <w:rPr>
          <w:rFonts w:ascii="Palatino Linotype" w:hAnsi="Palatino Linotype"/>
        </w:rPr>
        <w:t xml:space="preserve"> </w:t>
      </w:r>
      <w:r>
        <w:rPr>
          <w:rFonts w:ascii="Palatino Linotype" w:hAnsi="Palatino Linotype"/>
        </w:rPr>
        <w:t xml:space="preserve">Whiting and Thomson, ‘On the Results of Past Labours in the Mission’; Wortabet, </w:t>
      </w:r>
      <w:r>
        <w:rPr>
          <w:rFonts w:ascii="Palatino Linotype" w:hAnsi="Palatino Linotype"/>
          <w:i/>
        </w:rPr>
        <w:t>SS: I</w:t>
      </w:r>
      <w:r>
        <w:rPr>
          <w:rFonts w:ascii="Palatino Linotype" w:hAnsi="Palatino Linotype"/>
        </w:rPr>
        <w:t>: 44 note 1.</w:t>
      </w:r>
    </w:p>
  </w:footnote>
  <w:footnote w:id="169">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Wortabet,</w:t>
      </w:r>
      <w:r w:rsidRPr="00F8093A">
        <w:rPr>
          <w:rFonts w:ascii="Palatino Linotype" w:hAnsi="Palatino Linotype"/>
          <w:i/>
          <w:lang w:val="en-GB"/>
        </w:rPr>
        <w:t xml:space="preserve"> RRS: </w:t>
      </w:r>
      <w:r w:rsidRPr="00F8093A">
        <w:rPr>
          <w:rFonts w:ascii="Palatino Linotype" w:hAnsi="Palatino Linotype"/>
          <w:lang w:val="en-GB"/>
        </w:rPr>
        <w:t>17.</w:t>
      </w:r>
    </w:p>
  </w:footnote>
  <w:footnote w:id="170">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Lynch, </w:t>
      </w:r>
      <w:r w:rsidRPr="00F8093A">
        <w:rPr>
          <w:rFonts w:ascii="Palatino Linotype" w:hAnsi="Palatino Linotype"/>
          <w:i/>
          <w:lang w:val="en-GB"/>
        </w:rPr>
        <w:t>Narrative of the United States' Expedition</w:t>
      </w:r>
      <w:r w:rsidRPr="00F8093A">
        <w:rPr>
          <w:rFonts w:ascii="Palatino Linotype" w:hAnsi="Palatino Linotype"/>
          <w:lang w:val="en-GB"/>
        </w:rPr>
        <w:t>: 73-80.</w:t>
      </w:r>
    </w:p>
  </w:footnote>
  <w:footnote w:id="171">
    <w:p w:rsidR="00333418" w:rsidRPr="00F8093A" w:rsidRDefault="00333418" w:rsidP="001761FF">
      <w:pPr>
        <w:pStyle w:val="FootnoteText"/>
        <w:ind w:left="90" w:hanging="90"/>
        <w:jc w:val="both"/>
        <w:rPr>
          <w:rFonts w:ascii="Palatino Linotype" w:hAnsi="Palatino Linotype"/>
          <w:lang w:val="en-GB"/>
        </w:rPr>
      </w:pPr>
      <w:r w:rsidRPr="00F8093A">
        <w:rPr>
          <w:rStyle w:val="FootnoteReference"/>
          <w:rFonts w:ascii="Palatino Linotype" w:hAnsi="Palatino Linotype"/>
          <w:lang w:val="en-GB"/>
        </w:rPr>
        <w:footnoteRef/>
      </w:r>
      <w:r w:rsidRPr="00F8093A">
        <w:rPr>
          <w:rFonts w:ascii="Palatino Linotype" w:hAnsi="Palatino Linotype"/>
          <w:lang w:val="en-GB"/>
        </w:rPr>
        <w:t xml:space="preserve"> </w:t>
      </w:r>
      <w:r>
        <w:rPr>
          <w:rFonts w:ascii="Palatino Linotype" w:hAnsi="Palatino Linotype"/>
          <w:lang w:val="en-GB"/>
        </w:rPr>
        <w:t>al-</w:t>
      </w:r>
      <w:r w:rsidRPr="00F8093A">
        <w:rPr>
          <w:rFonts w:ascii="Palatino Linotype" w:hAnsi="Palatino Linotype"/>
          <w:lang w:val="en-GB"/>
        </w:rPr>
        <w:t>Bustani,</w:t>
      </w:r>
      <w:r>
        <w:rPr>
          <w:rFonts w:ascii="Palatino Linotype" w:hAnsi="Palatino Linotype"/>
          <w:lang w:val="en-GB"/>
        </w:rPr>
        <w:t xml:space="preserve"> ‘Private: Letter to Eli Smith’</w:t>
      </w:r>
      <w:r w:rsidRPr="00F8093A">
        <w:rPr>
          <w:rFonts w:ascii="Palatino Linotype" w:hAnsi="Palatino Linotype"/>
          <w:lang w:val="en-GB"/>
        </w:rPr>
        <w:t xml:space="preserve">; Wortabet, </w:t>
      </w:r>
      <w:r w:rsidRPr="00F8093A">
        <w:rPr>
          <w:rFonts w:ascii="Palatino Linotype" w:hAnsi="Palatino Linotype"/>
          <w:i/>
          <w:lang w:val="en-GB"/>
        </w:rPr>
        <w:t>SS:</w:t>
      </w:r>
      <w:r w:rsidRPr="00F8093A">
        <w:rPr>
          <w:rFonts w:ascii="Palatino Linotype" w:hAnsi="Palatino Linotype"/>
          <w:lang w:val="en-GB"/>
        </w:rPr>
        <w:t xml:space="preserve"> </w:t>
      </w:r>
      <w:r w:rsidRPr="00F8093A">
        <w:rPr>
          <w:rFonts w:ascii="Palatino Linotype" w:hAnsi="Palatino Linotype"/>
          <w:i/>
          <w:lang w:val="en-GB"/>
        </w:rPr>
        <w:t>I:</w:t>
      </w:r>
      <w:r w:rsidRPr="00F8093A">
        <w:rPr>
          <w:rFonts w:ascii="Palatino Linotype" w:hAnsi="Palatino Linotype"/>
          <w:lang w:val="en-GB"/>
        </w:rPr>
        <w:t xml:space="preserve"> 27.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669CE"/>
    <w:multiLevelType w:val="hybridMultilevel"/>
    <w:tmpl w:val="BCA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2E3567"/>
    <w:multiLevelType w:val="multilevel"/>
    <w:tmpl w:val="D93E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0C392B"/>
    <w:multiLevelType w:val="hybridMultilevel"/>
    <w:tmpl w:val="D20CA59A"/>
    <w:lvl w:ilvl="0" w:tplc="42D662FC">
      <w:start w:val="1835"/>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9"/>
  <w:displayBackgroundShape/>
  <w:revisionView w:inkAnnotations="0"/>
  <w:doNotTrackMoves/>
  <w:defaultTabStop w:val="70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numRestart w:val="eachSect"/>
    <w:footnote w:id="0"/>
    <w:footnote w:id="1"/>
  </w:footnotePr>
  <w:endnotePr>
    <w:endnote w:id="0"/>
    <w:endnote w:id="1"/>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F1D"/>
    <w:rsid w:val="00000F96"/>
    <w:rsid w:val="000022E9"/>
    <w:rsid w:val="000028FB"/>
    <w:rsid w:val="000052BC"/>
    <w:rsid w:val="00013B8E"/>
    <w:rsid w:val="00020F44"/>
    <w:rsid w:val="000211EB"/>
    <w:rsid w:val="00030D5A"/>
    <w:rsid w:val="00030F47"/>
    <w:rsid w:val="0003336E"/>
    <w:rsid w:val="00035328"/>
    <w:rsid w:val="00036BBA"/>
    <w:rsid w:val="00040155"/>
    <w:rsid w:val="0004119C"/>
    <w:rsid w:val="00043C3F"/>
    <w:rsid w:val="00054025"/>
    <w:rsid w:val="00055EF5"/>
    <w:rsid w:val="00056BD6"/>
    <w:rsid w:val="00062465"/>
    <w:rsid w:val="000648A9"/>
    <w:rsid w:val="000667AA"/>
    <w:rsid w:val="00073027"/>
    <w:rsid w:val="000761EF"/>
    <w:rsid w:val="0008086E"/>
    <w:rsid w:val="00083D87"/>
    <w:rsid w:val="0008412A"/>
    <w:rsid w:val="00096E1F"/>
    <w:rsid w:val="000A2560"/>
    <w:rsid w:val="000A3551"/>
    <w:rsid w:val="000A39A7"/>
    <w:rsid w:val="000B1442"/>
    <w:rsid w:val="000B42E2"/>
    <w:rsid w:val="000C056B"/>
    <w:rsid w:val="000C4C93"/>
    <w:rsid w:val="000D327A"/>
    <w:rsid w:val="000D5EA3"/>
    <w:rsid w:val="000D6CFD"/>
    <w:rsid w:val="000D7BCB"/>
    <w:rsid w:val="000D7ECC"/>
    <w:rsid w:val="000E6EA4"/>
    <w:rsid w:val="000F08A9"/>
    <w:rsid w:val="001024EA"/>
    <w:rsid w:val="00115032"/>
    <w:rsid w:val="00124956"/>
    <w:rsid w:val="001377BF"/>
    <w:rsid w:val="00140235"/>
    <w:rsid w:val="00141CA1"/>
    <w:rsid w:val="00147157"/>
    <w:rsid w:val="001517E2"/>
    <w:rsid w:val="0015180F"/>
    <w:rsid w:val="00152AE1"/>
    <w:rsid w:val="00154E7B"/>
    <w:rsid w:val="0015759F"/>
    <w:rsid w:val="001575C8"/>
    <w:rsid w:val="00160F6A"/>
    <w:rsid w:val="00161188"/>
    <w:rsid w:val="00180C68"/>
    <w:rsid w:val="00182E5F"/>
    <w:rsid w:val="001843A0"/>
    <w:rsid w:val="00184EBB"/>
    <w:rsid w:val="00185267"/>
    <w:rsid w:val="00191319"/>
    <w:rsid w:val="0019165D"/>
    <w:rsid w:val="00194D20"/>
    <w:rsid w:val="001A0529"/>
    <w:rsid w:val="001B0E92"/>
    <w:rsid w:val="001D3E8E"/>
    <w:rsid w:val="001D4C76"/>
    <w:rsid w:val="001D5CFD"/>
    <w:rsid w:val="001D5FB2"/>
    <w:rsid w:val="001E04B0"/>
    <w:rsid w:val="001E24BD"/>
    <w:rsid w:val="001F02ED"/>
    <w:rsid w:val="002049A1"/>
    <w:rsid w:val="00207746"/>
    <w:rsid w:val="002106E2"/>
    <w:rsid w:val="00210BB6"/>
    <w:rsid w:val="002111E7"/>
    <w:rsid w:val="00211289"/>
    <w:rsid w:val="00214A39"/>
    <w:rsid w:val="00214BE2"/>
    <w:rsid w:val="00217294"/>
    <w:rsid w:val="00217A7F"/>
    <w:rsid w:val="00221078"/>
    <w:rsid w:val="0022570E"/>
    <w:rsid w:val="00226833"/>
    <w:rsid w:val="002333EA"/>
    <w:rsid w:val="00235217"/>
    <w:rsid w:val="00235743"/>
    <w:rsid w:val="002411FD"/>
    <w:rsid w:val="00241696"/>
    <w:rsid w:val="0024367B"/>
    <w:rsid w:val="002438D7"/>
    <w:rsid w:val="00244E38"/>
    <w:rsid w:val="00245E94"/>
    <w:rsid w:val="0025022F"/>
    <w:rsid w:val="00251BEF"/>
    <w:rsid w:val="00254F4D"/>
    <w:rsid w:val="00256D06"/>
    <w:rsid w:val="00257440"/>
    <w:rsid w:val="00263A7C"/>
    <w:rsid w:val="002644FD"/>
    <w:rsid w:val="00267031"/>
    <w:rsid w:val="00272792"/>
    <w:rsid w:val="002744D5"/>
    <w:rsid w:val="00275DA2"/>
    <w:rsid w:val="00287856"/>
    <w:rsid w:val="00293209"/>
    <w:rsid w:val="002A2A06"/>
    <w:rsid w:val="002B0E70"/>
    <w:rsid w:val="002B36D9"/>
    <w:rsid w:val="002B5E01"/>
    <w:rsid w:val="002B64DA"/>
    <w:rsid w:val="002C7935"/>
    <w:rsid w:val="002C7BCD"/>
    <w:rsid w:val="002C7D67"/>
    <w:rsid w:val="002D08EE"/>
    <w:rsid w:val="002D5995"/>
    <w:rsid w:val="002D6DA1"/>
    <w:rsid w:val="002E05DB"/>
    <w:rsid w:val="002E0D2A"/>
    <w:rsid w:val="002E1648"/>
    <w:rsid w:val="002E6E42"/>
    <w:rsid w:val="002F30D3"/>
    <w:rsid w:val="003053D1"/>
    <w:rsid w:val="003102B7"/>
    <w:rsid w:val="0031221C"/>
    <w:rsid w:val="0031368E"/>
    <w:rsid w:val="00317CF7"/>
    <w:rsid w:val="00323362"/>
    <w:rsid w:val="00326E28"/>
    <w:rsid w:val="00326F4F"/>
    <w:rsid w:val="00327044"/>
    <w:rsid w:val="003300DB"/>
    <w:rsid w:val="00330340"/>
    <w:rsid w:val="0033219B"/>
    <w:rsid w:val="00332755"/>
    <w:rsid w:val="00333418"/>
    <w:rsid w:val="00335910"/>
    <w:rsid w:val="00337E6B"/>
    <w:rsid w:val="003435B7"/>
    <w:rsid w:val="00346066"/>
    <w:rsid w:val="00346EF6"/>
    <w:rsid w:val="00352163"/>
    <w:rsid w:val="003536C1"/>
    <w:rsid w:val="00355AEB"/>
    <w:rsid w:val="00355F8E"/>
    <w:rsid w:val="00357A24"/>
    <w:rsid w:val="00363299"/>
    <w:rsid w:val="00364782"/>
    <w:rsid w:val="00364D77"/>
    <w:rsid w:val="003664CB"/>
    <w:rsid w:val="00372B1B"/>
    <w:rsid w:val="0037636E"/>
    <w:rsid w:val="00380539"/>
    <w:rsid w:val="003822AB"/>
    <w:rsid w:val="0038601F"/>
    <w:rsid w:val="0039180E"/>
    <w:rsid w:val="00396100"/>
    <w:rsid w:val="00396DAA"/>
    <w:rsid w:val="003A0FC1"/>
    <w:rsid w:val="003A2FF9"/>
    <w:rsid w:val="003A3EB4"/>
    <w:rsid w:val="003A4BBA"/>
    <w:rsid w:val="003B39B6"/>
    <w:rsid w:val="003B400E"/>
    <w:rsid w:val="003B4776"/>
    <w:rsid w:val="003B5491"/>
    <w:rsid w:val="003D0B4A"/>
    <w:rsid w:val="003D19C6"/>
    <w:rsid w:val="003D4901"/>
    <w:rsid w:val="003D5C81"/>
    <w:rsid w:val="003D68F5"/>
    <w:rsid w:val="003E2301"/>
    <w:rsid w:val="003E44F7"/>
    <w:rsid w:val="003E4B69"/>
    <w:rsid w:val="003E78CE"/>
    <w:rsid w:val="003F0469"/>
    <w:rsid w:val="003F062F"/>
    <w:rsid w:val="003F1775"/>
    <w:rsid w:val="003F616B"/>
    <w:rsid w:val="003F72A4"/>
    <w:rsid w:val="00405583"/>
    <w:rsid w:val="004100BF"/>
    <w:rsid w:val="00417C65"/>
    <w:rsid w:val="004206FD"/>
    <w:rsid w:val="004238DE"/>
    <w:rsid w:val="0042460A"/>
    <w:rsid w:val="004247CA"/>
    <w:rsid w:val="00424B86"/>
    <w:rsid w:val="00425B12"/>
    <w:rsid w:val="00442721"/>
    <w:rsid w:val="00443E1A"/>
    <w:rsid w:val="004455D7"/>
    <w:rsid w:val="00447618"/>
    <w:rsid w:val="004528E1"/>
    <w:rsid w:val="00452AE5"/>
    <w:rsid w:val="00453D49"/>
    <w:rsid w:val="00461BBE"/>
    <w:rsid w:val="00463465"/>
    <w:rsid w:val="00464E03"/>
    <w:rsid w:val="00465290"/>
    <w:rsid w:val="00465625"/>
    <w:rsid w:val="00465C01"/>
    <w:rsid w:val="00477021"/>
    <w:rsid w:val="00483E98"/>
    <w:rsid w:val="00484DE4"/>
    <w:rsid w:val="00487C0D"/>
    <w:rsid w:val="0049498E"/>
    <w:rsid w:val="00494FF7"/>
    <w:rsid w:val="004A0485"/>
    <w:rsid w:val="004A11B9"/>
    <w:rsid w:val="004A5515"/>
    <w:rsid w:val="004A61FB"/>
    <w:rsid w:val="004A6A77"/>
    <w:rsid w:val="004B0C91"/>
    <w:rsid w:val="004B529C"/>
    <w:rsid w:val="004B734A"/>
    <w:rsid w:val="004B78D7"/>
    <w:rsid w:val="004C0EBB"/>
    <w:rsid w:val="004C0FC9"/>
    <w:rsid w:val="004C1524"/>
    <w:rsid w:val="004D22A3"/>
    <w:rsid w:val="004D3F3B"/>
    <w:rsid w:val="004D440B"/>
    <w:rsid w:val="004D610E"/>
    <w:rsid w:val="004D6402"/>
    <w:rsid w:val="004D6E0A"/>
    <w:rsid w:val="004E2614"/>
    <w:rsid w:val="004E3C1B"/>
    <w:rsid w:val="004E5EAA"/>
    <w:rsid w:val="004E6545"/>
    <w:rsid w:val="004F1017"/>
    <w:rsid w:val="004F148D"/>
    <w:rsid w:val="004F74BC"/>
    <w:rsid w:val="00502CA8"/>
    <w:rsid w:val="00505EA7"/>
    <w:rsid w:val="005137D3"/>
    <w:rsid w:val="005156B3"/>
    <w:rsid w:val="0051735B"/>
    <w:rsid w:val="005232AB"/>
    <w:rsid w:val="00524A2A"/>
    <w:rsid w:val="00532E65"/>
    <w:rsid w:val="00535675"/>
    <w:rsid w:val="00544A7D"/>
    <w:rsid w:val="00551487"/>
    <w:rsid w:val="00552884"/>
    <w:rsid w:val="00556AFF"/>
    <w:rsid w:val="00562171"/>
    <w:rsid w:val="0056464B"/>
    <w:rsid w:val="005675B6"/>
    <w:rsid w:val="00574F1D"/>
    <w:rsid w:val="00575E8F"/>
    <w:rsid w:val="0058045A"/>
    <w:rsid w:val="00593890"/>
    <w:rsid w:val="00594273"/>
    <w:rsid w:val="00596950"/>
    <w:rsid w:val="005A0969"/>
    <w:rsid w:val="005A09D6"/>
    <w:rsid w:val="005A0FEF"/>
    <w:rsid w:val="005A2423"/>
    <w:rsid w:val="005A291B"/>
    <w:rsid w:val="005A3C22"/>
    <w:rsid w:val="005A40AD"/>
    <w:rsid w:val="005A7482"/>
    <w:rsid w:val="005B5022"/>
    <w:rsid w:val="005B5659"/>
    <w:rsid w:val="005B6FF6"/>
    <w:rsid w:val="005C1A27"/>
    <w:rsid w:val="005C6208"/>
    <w:rsid w:val="005D183E"/>
    <w:rsid w:val="005D1E50"/>
    <w:rsid w:val="005D307C"/>
    <w:rsid w:val="005D7D25"/>
    <w:rsid w:val="005E27A8"/>
    <w:rsid w:val="005F13A7"/>
    <w:rsid w:val="005F226C"/>
    <w:rsid w:val="005F4890"/>
    <w:rsid w:val="005F58FB"/>
    <w:rsid w:val="005F6481"/>
    <w:rsid w:val="006063DA"/>
    <w:rsid w:val="006102D8"/>
    <w:rsid w:val="0061182F"/>
    <w:rsid w:val="00615D23"/>
    <w:rsid w:val="00617E2C"/>
    <w:rsid w:val="006209AF"/>
    <w:rsid w:val="00626E49"/>
    <w:rsid w:val="006409D0"/>
    <w:rsid w:val="00642A9F"/>
    <w:rsid w:val="00643556"/>
    <w:rsid w:val="00644DD9"/>
    <w:rsid w:val="0064705C"/>
    <w:rsid w:val="0065510C"/>
    <w:rsid w:val="006557DC"/>
    <w:rsid w:val="00657EB8"/>
    <w:rsid w:val="006640BF"/>
    <w:rsid w:val="00664F20"/>
    <w:rsid w:val="006714BB"/>
    <w:rsid w:val="00672339"/>
    <w:rsid w:val="00673A64"/>
    <w:rsid w:val="00674E8D"/>
    <w:rsid w:val="00675BD4"/>
    <w:rsid w:val="00677BA6"/>
    <w:rsid w:val="00682BA0"/>
    <w:rsid w:val="00684174"/>
    <w:rsid w:val="00690A7B"/>
    <w:rsid w:val="0069649D"/>
    <w:rsid w:val="006A1857"/>
    <w:rsid w:val="006B03B5"/>
    <w:rsid w:val="006B0FFA"/>
    <w:rsid w:val="006B18F6"/>
    <w:rsid w:val="006B3D67"/>
    <w:rsid w:val="006B4330"/>
    <w:rsid w:val="006B6F49"/>
    <w:rsid w:val="006B7B83"/>
    <w:rsid w:val="006C4EBB"/>
    <w:rsid w:val="006D5DD1"/>
    <w:rsid w:val="006E2531"/>
    <w:rsid w:val="006E30EB"/>
    <w:rsid w:val="006E4B92"/>
    <w:rsid w:val="00700D53"/>
    <w:rsid w:val="007047B6"/>
    <w:rsid w:val="00720343"/>
    <w:rsid w:val="0073244A"/>
    <w:rsid w:val="0073344E"/>
    <w:rsid w:val="00736297"/>
    <w:rsid w:val="007368FA"/>
    <w:rsid w:val="007427BF"/>
    <w:rsid w:val="00751C28"/>
    <w:rsid w:val="0075236D"/>
    <w:rsid w:val="00753593"/>
    <w:rsid w:val="00754F65"/>
    <w:rsid w:val="00760C23"/>
    <w:rsid w:val="007626C4"/>
    <w:rsid w:val="007627A8"/>
    <w:rsid w:val="00763AB0"/>
    <w:rsid w:val="00764B48"/>
    <w:rsid w:val="00770645"/>
    <w:rsid w:val="00770B61"/>
    <w:rsid w:val="007714AC"/>
    <w:rsid w:val="00774E7F"/>
    <w:rsid w:val="007763FD"/>
    <w:rsid w:val="00777625"/>
    <w:rsid w:val="00777814"/>
    <w:rsid w:val="007843A3"/>
    <w:rsid w:val="0078781D"/>
    <w:rsid w:val="00787BA3"/>
    <w:rsid w:val="00791241"/>
    <w:rsid w:val="007929D1"/>
    <w:rsid w:val="007975A5"/>
    <w:rsid w:val="007A22DA"/>
    <w:rsid w:val="007A6ABE"/>
    <w:rsid w:val="007B1147"/>
    <w:rsid w:val="007B4049"/>
    <w:rsid w:val="007B773F"/>
    <w:rsid w:val="007C326D"/>
    <w:rsid w:val="007C652C"/>
    <w:rsid w:val="007D0D12"/>
    <w:rsid w:val="007D15BB"/>
    <w:rsid w:val="007D7776"/>
    <w:rsid w:val="007E2740"/>
    <w:rsid w:val="007E553C"/>
    <w:rsid w:val="007E678C"/>
    <w:rsid w:val="007F0254"/>
    <w:rsid w:val="007F561C"/>
    <w:rsid w:val="007F673E"/>
    <w:rsid w:val="00806355"/>
    <w:rsid w:val="00810FAD"/>
    <w:rsid w:val="00811BA4"/>
    <w:rsid w:val="00812E7B"/>
    <w:rsid w:val="008134CB"/>
    <w:rsid w:val="00824448"/>
    <w:rsid w:val="008261B9"/>
    <w:rsid w:val="0083014E"/>
    <w:rsid w:val="008350EF"/>
    <w:rsid w:val="008402F2"/>
    <w:rsid w:val="008444D4"/>
    <w:rsid w:val="0085029C"/>
    <w:rsid w:val="008536C3"/>
    <w:rsid w:val="008558C4"/>
    <w:rsid w:val="00857392"/>
    <w:rsid w:val="0086506D"/>
    <w:rsid w:val="00866E0C"/>
    <w:rsid w:val="0086770E"/>
    <w:rsid w:val="00873BEF"/>
    <w:rsid w:val="008745EF"/>
    <w:rsid w:val="00876986"/>
    <w:rsid w:val="00877221"/>
    <w:rsid w:val="0088056B"/>
    <w:rsid w:val="00880632"/>
    <w:rsid w:val="0088467C"/>
    <w:rsid w:val="00887D85"/>
    <w:rsid w:val="0089094A"/>
    <w:rsid w:val="00893744"/>
    <w:rsid w:val="00896698"/>
    <w:rsid w:val="008A336C"/>
    <w:rsid w:val="008A4426"/>
    <w:rsid w:val="008B0363"/>
    <w:rsid w:val="008B121B"/>
    <w:rsid w:val="008C0191"/>
    <w:rsid w:val="008C0683"/>
    <w:rsid w:val="008C392E"/>
    <w:rsid w:val="008C4D2D"/>
    <w:rsid w:val="008D3A54"/>
    <w:rsid w:val="008D62B5"/>
    <w:rsid w:val="008E04A9"/>
    <w:rsid w:val="008E16A3"/>
    <w:rsid w:val="008E16EC"/>
    <w:rsid w:val="008E3CB7"/>
    <w:rsid w:val="008E49F9"/>
    <w:rsid w:val="008E50F8"/>
    <w:rsid w:val="008E56B9"/>
    <w:rsid w:val="008F1E57"/>
    <w:rsid w:val="008F6030"/>
    <w:rsid w:val="008F73CC"/>
    <w:rsid w:val="009031EA"/>
    <w:rsid w:val="00904309"/>
    <w:rsid w:val="00904B49"/>
    <w:rsid w:val="00905456"/>
    <w:rsid w:val="00913DAE"/>
    <w:rsid w:val="00915F2E"/>
    <w:rsid w:val="00925691"/>
    <w:rsid w:val="0093013F"/>
    <w:rsid w:val="009310C1"/>
    <w:rsid w:val="0093538B"/>
    <w:rsid w:val="00935767"/>
    <w:rsid w:val="009420E7"/>
    <w:rsid w:val="00943223"/>
    <w:rsid w:val="00945759"/>
    <w:rsid w:val="00946D5E"/>
    <w:rsid w:val="009506E2"/>
    <w:rsid w:val="0095234C"/>
    <w:rsid w:val="009546FD"/>
    <w:rsid w:val="00957628"/>
    <w:rsid w:val="0096791C"/>
    <w:rsid w:val="009679E1"/>
    <w:rsid w:val="00975F79"/>
    <w:rsid w:val="00986029"/>
    <w:rsid w:val="00987A06"/>
    <w:rsid w:val="00987AA7"/>
    <w:rsid w:val="00995E1A"/>
    <w:rsid w:val="00997CB0"/>
    <w:rsid w:val="009A0D9F"/>
    <w:rsid w:val="009A639E"/>
    <w:rsid w:val="009A7294"/>
    <w:rsid w:val="009B0C2D"/>
    <w:rsid w:val="009B102E"/>
    <w:rsid w:val="009B11FF"/>
    <w:rsid w:val="009C0495"/>
    <w:rsid w:val="009C05AA"/>
    <w:rsid w:val="009C21F7"/>
    <w:rsid w:val="009C6927"/>
    <w:rsid w:val="009D3044"/>
    <w:rsid w:val="009D4885"/>
    <w:rsid w:val="009D4F01"/>
    <w:rsid w:val="009D6520"/>
    <w:rsid w:val="009D7116"/>
    <w:rsid w:val="009E203F"/>
    <w:rsid w:val="009E4B7A"/>
    <w:rsid w:val="009E7392"/>
    <w:rsid w:val="009F08D9"/>
    <w:rsid w:val="009F0F61"/>
    <w:rsid w:val="009F1CC8"/>
    <w:rsid w:val="009F61BF"/>
    <w:rsid w:val="00A00BD6"/>
    <w:rsid w:val="00A00D81"/>
    <w:rsid w:val="00A0609A"/>
    <w:rsid w:val="00A129C9"/>
    <w:rsid w:val="00A12B2F"/>
    <w:rsid w:val="00A223B8"/>
    <w:rsid w:val="00A25899"/>
    <w:rsid w:val="00A306FD"/>
    <w:rsid w:val="00A3496F"/>
    <w:rsid w:val="00A362B6"/>
    <w:rsid w:val="00A4102D"/>
    <w:rsid w:val="00A425B8"/>
    <w:rsid w:val="00A45C6D"/>
    <w:rsid w:val="00A47D92"/>
    <w:rsid w:val="00A519A3"/>
    <w:rsid w:val="00A53B11"/>
    <w:rsid w:val="00A64DEF"/>
    <w:rsid w:val="00A71955"/>
    <w:rsid w:val="00A74112"/>
    <w:rsid w:val="00A76FAD"/>
    <w:rsid w:val="00A90A73"/>
    <w:rsid w:val="00A910D4"/>
    <w:rsid w:val="00A91795"/>
    <w:rsid w:val="00A91C7F"/>
    <w:rsid w:val="00A923E6"/>
    <w:rsid w:val="00AA58F8"/>
    <w:rsid w:val="00AA6CC9"/>
    <w:rsid w:val="00AB5A3F"/>
    <w:rsid w:val="00AC2D09"/>
    <w:rsid w:val="00AD4B3E"/>
    <w:rsid w:val="00AD4EBF"/>
    <w:rsid w:val="00AE06F5"/>
    <w:rsid w:val="00AE4ED5"/>
    <w:rsid w:val="00AE667B"/>
    <w:rsid w:val="00AE7ADC"/>
    <w:rsid w:val="00AF6EB7"/>
    <w:rsid w:val="00B0244E"/>
    <w:rsid w:val="00B04A8A"/>
    <w:rsid w:val="00B06ABA"/>
    <w:rsid w:val="00B11D81"/>
    <w:rsid w:val="00B13E64"/>
    <w:rsid w:val="00B15734"/>
    <w:rsid w:val="00B21C78"/>
    <w:rsid w:val="00B241AA"/>
    <w:rsid w:val="00B26205"/>
    <w:rsid w:val="00B2720B"/>
    <w:rsid w:val="00B331FE"/>
    <w:rsid w:val="00B35597"/>
    <w:rsid w:val="00B36005"/>
    <w:rsid w:val="00B37DD7"/>
    <w:rsid w:val="00B429AC"/>
    <w:rsid w:val="00B524B3"/>
    <w:rsid w:val="00B572FE"/>
    <w:rsid w:val="00B6100C"/>
    <w:rsid w:val="00B622EB"/>
    <w:rsid w:val="00B636B8"/>
    <w:rsid w:val="00B64147"/>
    <w:rsid w:val="00B66348"/>
    <w:rsid w:val="00B74311"/>
    <w:rsid w:val="00B772A0"/>
    <w:rsid w:val="00B822CC"/>
    <w:rsid w:val="00B8706D"/>
    <w:rsid w:val="00B879EB"/>
    <w:rsid w:val="00B91620"/>
    <w:rsid w:val="00B9625F"/>
    <w:rsid w:val="00BA1113"/>
    <w:rsid w:val="00BA7FF7"/>
    <w:rsid w:val="00BB1F40"/>
    <w:rsid w:val="00BB2DCD"/>
    <w:rsid w:val="00BB5900"/>
    <w:rsid w:val="00BB71AD"/>
    <w:rsid w:val="00BB7C9C"/>
    <w:rsid w:val="00BC0674"/>
    <w:rsid w:val="00BC0B72"/>
    <w:rsid w:val="00BC26C6"/>
    <w:rsid w:val="00BC5F83"/>
    <w:rsid w:val="00BC6A47"/>
    <w:rsid w:val="00BD05E5"/>
    <w:rsid w:val="00BD1271"/>
    <w:rsid w:val="00BD1822"/>
    <w:rsid w:val="00BD315B"/>
    <w:rsid w:val="00BD5C33"/>
    <w:rsid w:val="00BD6093"/>
    <w:rsid w:val="00BD66A7"/>
    <w:rsid w:val="00BD77DF"/>
    <w:rsid w:val="00BE1814"/>
    <w:rsid w:val="00BE19D0"/>
    <w:rsid w:val="00BE2D61"/>
    <w:rsid w:val="00BE4AC5"/>
    <w:rsid w:val="00BE72D9"/>
    <w:rsid w:val="00BF3456"/>
    <w:rsid w:val="00BF4761"/>
    <w:rsid w:val="00BF4785"/>
    <w:rsid w:val="00BF4EE2"/>
    <w:rsid w:val="00BF51B2"/>
    <w:rsid w:val="00BF723F"/>
    <w:rsid w:val="00BF7BD0"/>
    <w:rsid w:val="00C029D1"/>
    <w:rsid w:val="00C02B04"/>
    <w:rsid w:val="00C063E4"/>
    <w:rsid w:val="00C0672E"/>
    <w:rsid w:val="00C06A0E"/>
    <w:rsid w:val="00C1044A"/>
    <w:rsid w:val="00C124BD"/>
    <w:rsid w:val="00C1284A"/>
    <w:rsid w:val="00C1395D"/>
    <w:rsid w:val="00C16C5E"/>
    <w:rsid w:val="00C1726F"/>
    <w:rsid w:val="00C17825"/>
    <w:rsid w:val="00C24DD7"/>
    <w:rsid w:val="00C25D63"/>
    <w:rsid w:val="00C2756F"/>
    <w:rsid w:val="00C31EFE"/>
    <w:rsid w:val="00C32C87"/>
    <w:rsid w:val="00C35788"/>
    <w:rsid w:val="00C37F6F"/>
    <w:rsid w:val="00C40433"/>
    <w:rsid w:val="00C51833"/>
    <w:rsid w:val="00C55FA4"/>
    <w:rsid w:val="00C5742B"/>
    <w:rsid w:val="00C579D2"/>
    <w:rsid w:val="00C63051"/>
    <w:rsid w:val="00C63ECC"/>
    <w:rsid w:val="00C70644"/>
    <w:rsid w:val="00C732CF"/>
    <w:rsid w:val="00C73B2D"/>
    <w:rsid w:val="00C77F0C"/>
    <w:rsid w:val="00C80350"/>
    <w:rsid w:val="00C81EBB"/>
    <w:rsid w:val="00C9412D"/>
    <w:rsid w:val="00C94E02"/>
    <w:rsid w:val="00C94F03"/>
    <w:rsid w:val="00C95374"/>
    <w:rsid w:val="00CA0149"/>
    <w:rsid w:val="00CA2C62"/>
    <w:rsid w:val="00CA35D4"/>
    <w:rsid w:val="00CA4F9B"/>
    <w:rsid w:val="00CB32DA"/>
    <w:rsid w:val="00CB5FEB"/>
    <w:rsid w:val="00CB6E2A"/>
    <w:rsid w:val="00CC19BF"/>
    <w:rsid w:val="00CC57CE"/>
    <w:rsid w:val="00CD0533"/>
    <w:rsid w:val="00CD0F8D"/>
    <w:rsid w:val="00CD55C0"/>
    <w:rsid w:val="00CE6D22"/>
    <w:rsid w:val="00CE742C"/>
    <w:rsid w:val="00CF0787"/>
    <w:rsid w:val="00CF0E36"/>
    <w:rsid w:val="00CF38CB"/>
    <w:rsid w:val="00CF6969"/>
    <w:rsid w:val="00D03E7C"/>
    <w:rsid w:val="00D06E41"/>
    <w:rsid w:val="00D076B7"/>
    <w:rsid w:val="00D13AF6"/>
    <w:rsid w:val="00D16AF0"/>
    <w:rsid w:val="00D21E40"/>
    <w:rsid w:val="00D22BFB"/>
    <w:rsid w:val="00D25545"/>
    <w:rsid w:val="00D27A78"/>
    <w:rsid w:val="00D349BC"/>
    <w:rsid w:val="00D41959"/>
    <w:rsid w:val="00D41970"/>
    <w:rsid w:val="00D443CD"/>
    <w:rsid w:val="00D447C1"/>
    <w:rsid w:val="00D45688"/>
    <w:rsid w:val="00D542C0"/>
    <w:rsid w:val="00D54C92"/>
    <w:rsid w:val="00D6187A"/>
    <w:rsid w:val="00D61ED4"/>
    <w:rsid w:val="00D6291C"/>
    <w:rsid w:val="00D70B82"/>
    <w:rsid w:val="00D73CA3"/>
    <w:rsid w:val="00DA2590"/>
    <w:rsid w:val="00DA464C"/>
    <w:rsid w:val="00DA719E"/>
    <w:rsid w:val="00DB077F"/>
    <w:rsid w:val="00DB0CD3"/>
    <w:rsid w:val="00DB343C"/>
    <w:rsid w:val="00DB34DB"/>
    <w:rsid w:val="00DB37D9"/>
    <w:rsid w:val="00DB4AB8"/>
    <w:rsid w:val="00DB54C5"/>
    <w:rsid w:val="00DB54D2"/>
    <w:rsid w:val="00DC2EBB"/>
    <w:rsid w:val="00DC32C3"/>
    <w:rsid w:val="00DC616E"/>
    <w:rsid w:val="00DC794F"/>
    <w:rsid w:val="00DD0342"/>
    <w:rsid w:val="00DD06B1"/>
    <w:rsid w:val="00DD1E59"/>
    <w:rsid w:val="00DD53B1"/>
    <w:rsid w:val="00DD5CE2"/>
    <w:rsid w:val="00DE1193"/>
    <w:rsid w:val="00DE1D7E"/>
    <w:rsid w:val="00DE223F"/>
    <w:rsid w:val="00DE7052"/>
    <w:rsid w:val="00DF0822"/>
    <w:rsid w:val="00DF5505"/>
    <w:rsid w:val="00E00F2E"/>
    <w:rsid w:val="00E10528"/>
    <w:rsid w:val="00E1067D"/>
    <w:rsid w:val="00E12796"/>
    <w:rsid w:val="00E12AF3"/>
    <w:rsid w:val="00E13275"/>
    <w:rsid w:val="00E13833"/>
    <w:rsid w:val="00E13892"/>
    <w:rsid w:val="00E1546F"/>
    <w:rsid w:val="00E17370"/>
    <w:rsid w:val="00E21606"/>
    <w:rsid w:val="00E26226"/>
    <w:rsid w:val="00E320F6"/>
    <w:rsid w:val="00E34087"/>
    <w:rsid w:val="00E372F5"/>
    <w:rsid w:val="00E42325"/>
    <w:rsid w:val="00E45F76"/>
    <w:rsid w:val="00E46533"/>
    <w:rsid w:val="00E519AD"/>
    <w:rsid w:val="00E5376D"/>
    <w:rsid w:val="00E55A59"/>
    <w:rsid w:val="00E56562"/>
    <w:rsid w:val="00E5751E"/>
    <w:rsid w:val="00E5788A"/>
    <w:rsid w:val="00E6518E"/>
    <w:rsid w:val="00E75CC1"/>
    <w:rsid w:val="00E75FDF"/>
    <w:rsid w:val="00E77751"/>
    <w:rsid w:val="00E77BB6"/>
    <w:rsid w:val="00E80310"/>
    <w:rsid w:val="00E81B58"/>
    <w:rsid w:val="00E854FE"/>
    <w:rsid w:val="00E85753"/>
    <w:rsid w:val="00E907D1"/>
    <w:rsid w:val="00E96E97"/>
    <w:rsid w:val="00EA2A4E"/>
    <w:rsid w:val="00EA51DF"/>
    <w:rsid w:val="00EA61A6"/>
    <w:rsid w:val="00EB0517"/>
    <w:rsid w:val="00EB3698"/>
    <w:rsid w:val="00EB574C"/>
    <w:rsid w:val="00EC1E6C"/>
    <w:rsid w:val="00EC4636"/>
    <w:rsid w:val="00ED66ED"/>
    <w:rsid w:val="00EE1FDE"/>
    <w:rsid w:val="00EE2239"/>
    <w:rsid w:val="00EF21CB"/>
    <w:rsid w:val="00EF6986"/>
    <w:rsid w:val="00F0145F"/>
    <w:rsid w:val="00F0199F"/>
    <w:rsid w:val="00F0508D"/>
    <w:rsid w:val="00F10C87"/>
    <w:rsid w:val="00F11F5C"/>
    <w:rsid w:val="00F1308F"/>
    <w:rsid w:val="00F17B87"/>
    <w:rsid w:val="00F2085A"/>
    <w:rsid w:val="00F26714"/>
    <w:rsid w:val="00F277BE"/>
    <w:rsid w:val="00F30440"/>
    <w:rsid w:val="00F304AE"/>
    <w:rsid w:val="00F34BCF"/>
    <w:rsid w:val="00F358CB"/>
    <w:rsid w:val="00F359DB"/>
    <w:rsid w:val="00F40124"/>
    <w:rsid w:val="00F4652C"/>
    <w:rsid w:val="00F47D7A"/>
    <w:rsid w:val="00F5057A"/>
    <w:rsid w:val="00F53755"/>
    <w:rsid w:val="00F6035B"/>
    <w:rsid w:val="00F61400"/>
    <w:rsid w:val="00F61783"/>
    <w:rsid w:val="00F62113"/>
    <w:rsid w:val="00F63E2E"/>
    <w:rsid w:val="00F643BE"/>
    <w:rsid w:val="00F665C4"/>
    <w:rsid w:val="00F6762A"/>
    <w:rsid w:val="00F67E85"/>
    <w:rsid w:val="00F7053F"/>
    <w:rsid w:val="00F70AA2"/>
    <w:rsid w:val="00F72041"/>
    <w:rsid w:val="00F73C0A"/>
    <w:rsid w:val="00F7494F"/>
    <w:rsid w:val="00F74D69"/>
    <w:rsid w:val="00F8093A"/>
    <w:rsid w:val="00F87755"/>
    <w:rsid w:val="00F95120"/>
    <w:rsid w:val="00F975C3"/>
    <w:rsid w:val="00FA2867"/>
    <w:rsid w:val="00FA2FE7"/>
    <w:rsid w:val="00FB0C03"/>
    <w:rsid w:val="00FB1207"/>
    <w:rsid w:val="00FB3D13"/>
    <w:rsid w:val="00FB6FB9"/>
    <w:rsid w:val="00FB7DA1"/>
    <w:rsid w:val="00FC3105"/>
    <w:rsid w:val="00FC326B"/>
    <w:rsid w:val="00FC3EEE"/>
    <w:rsid w:val="00FC550F"/>
    <w:rsid w:val="00FC5B04"/>
    <w:rsid w:val="00FC5C62"/>
    <w:rsid w:val="00FC79C9"/>
    <w:rsid w:val="00FD04AE"/>
    <w:rsid w:val="00FD241E"/>
    <w:rsid w:val="00FD26C2"/>
    <w:rsid w:val="00FE1147"/>
    <w:rsid w:val="00FE435F"/>
    <w:rsid w:val="00FE5752"/>
    <w:rsid w:val="00FF0851"/>
    <w:rsid w:val="00FF1303"/>
    <w:rsid w:val="00FF4C20"/>
    <w:rsid w:val="00FF51A3"/>
    <w:rsid w:val="00FF659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envelope return" w:uiPriority="0"/>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AE5"/>
    <w:pPr>
      <w:widowControl w:val="0"/>
      <w:suppressAutoHyphens/>
    </w:pPr>
    <w:rPr>
      <w:sz w:val="24"/>
      <w:szCs w:val="24"/>
    </w:rPr>
  </w:style>
  <w:style w:type="paragraph" w:styleId="Heading1">
    <w:name w:val="heading 1"/>
    <w:basedOn w:val="Heading"/>
    <w:next w:val="BodyText"/>
    <w:link w:val="Heading1Char"/>
    <w:qFormat/>
    <w:rsid w:val="00452AE5"/>
    <w:pPr>
      <w:tabs>
        <w:tab w:val="num" w:pos="0"/>
      </w:tabs>
      <w:outlineLvl w:val="0"/>
    </w:pPr>
    <w:rPr>
      <w:rFonts w:ascii="Thorndale" w:hAnsi="Thorndale"/>
      <w:b/>
      <w:bCs/>
      <w:sz w:val="32"/>
      <w:szCs w:val="32"/>
    </w:rPr>
  </w:style>
  <w:style w:type="paragraph" w:styleId="Heading2">
    <w:name w:val="heading 2"/>
    <w:basedOn w:val="Heading"/>
    <w:next w:val="BodyText"/>
    <w:link w:val="Heading2Char"/>
    <w:qFormat/>
    <w:rsid w:val="00452AE5"/>
    <w:pPr>
      <w:tabs>
        <w:tab w:val="num" w:pos="0"/>
      </w:tabs>
      <w:outlineLvl w:val="1"/>
    </w:pPr>
    <w:rPr>
      <w:b/>
      <w:bCs/>
      <w:i/>
      <w:iCs/>
    </w:rPr>
  </w:style>
  <w:style w:type="paragraph" w:styleId="Heading3">
    <w:name w:val="heading 3"/>
    <w:basedOn w:val="Heading"/>
    <w:next w:val="BodyText"/>
    <w:link w:val="Heading3Char"/>
    <w:qFormat/>
    <w:rsid w:val="00452AE5"/>
    <w:pPr>
      <w:tabs>
        <w:tab w:val="num" w:pos="0"/>
      </w:tabs>
      <w:outlineLvl w:val="2"/>
    </w:pPr>
    <w:rPr>
      <w:b/>
      <w:bCs/>
      <w:sz w:val="26"/>
      <w:szCs w:val="26"/>
    </w:rPr>
  </w:style>
  <w:style w:type="paragraph" w:styleId="Heading4">
    <w:name w:val="heading 4"/>
    <w:basedOn w:val="Heading"/>
    <w:next w:val="BodyText"/>
    <w:link w:val="Heading4Char"/>
    <w:qFormat/>
    <w:rsid w:val="00452AE5"/>
    <w:pPr>
      <w:tabs>
        <w:tab w:val="num" w:pos="0"/>
      </w:tabs>
      <w:outlineLvl w:val="3"/>
    </w:pPr>
    <w:rPr>
      <w:b/>
      <w:bCs/>
      <w:i/>
      <w:iCs/>
      <w:sz w:val="24"/>
      <w:szCs w:val="24"/>
    </w:rPr>
  </w:style>
  <w:style w:type="paragraph" w:styleId="Heading5">
    <w:name w:val="heading 5"/>
    <w:basedOn w:val="Heading"/>
    <w:next w:val="BodyText"/>
    <w:link w:val="Heading5Char"/>
    <w:qFormat/>
    <w:rsid w:val="00452AE5"/>
    <w:pPr>
      <w:tabs>
        <w:tab w:val="num" w:pos="0"/>
      </w:tabs>
      <w:outlineLvl w:val="4"/>
    </w:pPr>
    <w:rPr>
      <w:b/>
      <w:bCs/>
      <w:sz w:val="22"/>
      <w:szCs w:val="22"/>
    </w:rPr>
  </w:style>
  <w:style w:type="paragraph" w:styleId="Heading6">
    <w:name w:val="heading 6"/>
    <w:basedOn w:val="Heading"/>
    <w:next w:val="BodyText"/>
    <w:link w:val="Heading6Char"/>
    <w:qFormat/>
    <w:rsid w:val="00452AE5"/>
    <w:pPr>
      <w:tabs>
        <w:tab w:val="num" w:pos="0"/>
      </w:tabs>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rsid w:val="00452AE5"/>
  </w:style>
  <w:style w:type="character" w:customStyle="1" w:styleId="FootnoteCharacters">
    <w:name w:val="Footnote Characters"/>
    <w:rsid w:val="00452AE5"/>
  </w:style>
  <w:style w:type="character" w:styleId="Hyperlink">
    <w:name w:val="Hyperlink"/>
    <w:rsid w:val="00452AE5"/>
    <w:rPr>
      <w:color w:val="000080"/>
      <w:u w:val="single"/>
    </w:rPr>
  </w:style>
  <w:style w:type="character" w:styleId="FootnoteReference">
    <w:name w:val="footnote reference"/>
    <w:semiHidden/>
    <w:rsid w:val="00452AE5"/>
    <w:rPr>
      <w:vertAlign w:val="superscript"/>
    </w:rPr>
  </w:style>
  <w:style w:type="character" w:styleId="EndnoteReference">
    <w:name w:val="endnote reference"/>
    <w:semiHidden/>
    <w:rsid w:val="00452AE5"/>
    <w:rPr>
      <w:vertAlign w:val="superscript"/>
    </w:rPr>
  </w:style>
  <w:style w:type="paragraph" w:customStyle="1" w:styleId="Heading">
    <w:name w:val="Heading"/>
    <w:basedOn w:val="Normal"/>
    <w:next w:val="BodyText"/>
    <w:rsid w:val="00452AE5"/>
    <w:pPr>
      <w:keepNext/>
      <w:spacing w:before="240" w:after="283"/>
    </w:pPr>
    <w:rPr>
      <w:rFonts w:ascii="Albany" w:eastAsia="HG Mincho Light J" w:hAnsi="Albany" w:cs="Arial Unicode MS"/>
      <w:sz w:val="28"/>
      <w:szCs w:val="28"/>
    </w:rPr>
  </w:style>
  <w:style w:type="paragraph" w:styleId="BodyText">
    <w:name w:val="Body Text"/>
    <w:basedOn w:val="Normal"/>
    <w:link w:val="BodyTextChar"/>
    <w:semiHidden/>
    <w:rsid w:val="00452AE5"/>
  </w:style>
  <w:style w:type="paragraph" w:styleId="List">
    <w:name w:val="List"/>
    <w:basedOn w:val="BodyText"/>
    <w:semiHidden/>
    <w:rsid w:val="00452AE5"/>
  </w:style>
  <w:style w:type="paragraph" w:styleId="Caption">
    <w:name w:val="caption"/>
    <w:basedOn w:val="Normal"/>
    <w:qFormat/>
    <w:rsid w:val="00452AE5"/>
    <w:pPr>
      <w:suppressLineNumbers/>
      <w:spacing w:before="120" w:after="120"/>
    </w:pPr>
    <w:rPr>
      <w:i/>
      <w:iCs/>
    </w:rPr>
  </w:style>
  <w:style w:type="paragraph" w:customStyle="1" w:styleId="Index">
    <w:name w:val="Index"/>
    <w:basedOn w:val="Normal"/>
    <w:rsid w:val="00452AE5"/>
    <w:pPr>
      <w:suppressLineNumbers/>
    </w:pPr>
  </w:style>
  <w:style w:type="paragraph" w:customStyle="1" w:styleId="HorizontalLine">
    <w:name w:val="Horizontal Line"/>
    <w:basedOn w:val="Normal"/>
    <w:next w:val="BodyText"/>
    <w:rsid w:val="00452AE5"/>
    <w:pPr>
      <w:pBdr>
        <w:bottom w:val="double" w:sz="1" w:space="0" w:color="808080"/>
      </w:pBdr>
      <w:spacing w:after="283"/>
    </w:pPr>
    <w:rPr>
      <w:sz w:val="12"/>
    </w:rPr>
  </w:style>
  <w:style w:type="paragraph" w:styleId="EnvelopeReturn">
    <w:name w:val="envelope return"/>
    <w:basedOn w:val="Normal"/>
    <w:semiHidden/>
    <w:rsid w:val="00452AE5"/>
    <w:rPr>
      <w:i/>
    </w:rPr>
  </w:style>
  <w:style w:type="paragraph" w:customStyle="1" w:styleId="TableContents">
    <w:name w:val="Table Contents"/>
    <w:basedOn w:val="BodyText"/>
    <w:rsid w:val="00452AE5"/>
  </w:style>
  <w:style w:type="paragraph" w:styleId="Footer">
    <w:name w:val="footer"/>
    <w:basedOn w:val="Normal"/>
    <w:link w:val="FooterChar"/>
    <w:uiPriority w:val="99"/>
    <w:rsid w:val="00452AE5"/>
    <w:pPr>
      <w:suppressLineNumbers/>
      <w:tabs>
        <w:tab w:val="center" w:pos="4818"/>
        <w:tab w:val="right" w:pos="9637"/>
      </w:tabs>
    </w:pPr>
  </w:style>
  <w:style w:type="paragraph" w:styleId="Header">
    <w:name w:val="header"/>
    <w:basedOn w:val="Normal"/>
    <w:link w:val="HeaderChar"/>
    <w:semiHidden/>
    <w:rsid w:val="00452AE5"/>
    <w:pPr>
      <w:suppressLineNumbers/>
      <w:tabs>
        <w:tab w:val="center" w:pos="4818"/>
        <w:tab w:val="right" w:pos="9637"/>
      </w:tabs>
    </w:pPr>
  </w:style>
  <w:style w:type="paragraph" w:customStyle="1" w:styleId="Quotations">
    <w:name w:val="Quotations"/>
    <w:basedOn w:val="Normal"/>
    <w:rsid w:val="00452AE5"/>
    <w:pPr>
      <w:pBdr>
        <w:top w:val="single" w:sz="1" w:space="7" w:color="C0C0C0"/>
        <w:left w:val="single" w:sz="1" w:space="7" w:color="C0C0C0"/>
        <w:bottom w:val="single" w:sz="1" w:space="7" w:color="C0C0C0"/>
        <w:right w:val="single" w:sz="1" w:space="7" w:color="C0C0C0"/>
      </w:pBdr>
      <w:spacing w:after="283"/>
      <w:ind w:left="567" w:right="567"/>
    </w:pPr>
  </w:style>
  <w:style w:type="paragraph" w:styleId="FootnoteText">
    <w:name w:val="footnote text"/>
    <w:basedOn w:val="Normal"/>
    <w:link w:val="FootnoteTextChar"/>
    <w:rsid w:val="00452AE5"/>
    <w:pPr>
      <w:suppressLineNumbers/>
      <w:ind w:left="283" w:hanging="283"/>
    </w:pPr>
    <w:rPr>
      <w:sz w:val="20"/>
      <w:szCs w:val="20"/>
    </w:rPr>
  </w:style>
  <w:style w:type="character" w:customStyle="1" w:styleId="FooterChar">
    <w:name w:val="Footer Char"/>
    <w:basedOn w:val="DefaultParagraphFont"/>
    <w:link w:val="Footer"/>
    <w:uiPriority w:val="99"/>
    <w:rsid w:val="00B241AA"/>
    <w:rPr>
      <w:sz w:val="24"/>
      <w:szCs w:val="24"/>
    </w:rPr>
  </w:style>
  <w:style w:type="paragraph" w:styleId="BalloonText">
    <w:name w:val="Balloon Text"/>
    <w:basedOn w:val="Normal"/>
    <w:link w:val="BalloonTextChar"/>
    <w:uiPriority w:val="99"/>
    <w:semiHidden/>
    <w:unhideWhenUsed/>
    <w:rsid w:val="00B241AA"/>
    <w:rPr>
      <w:rFonts w:ascii="Tahoma" w:hAnsi="Tahoma" w:cs="Tahoma"/>
      <w:sz w:val="16"/>
      <w:szCs w:val="16"/>
    </w:rPr>
  </w:style>
  <w:style w:type="character" w:customStyle="1" w:styleId="BalloonTextChar">
    <w:name w:val="Balloon Text Char"/>
    <w:basedOn w:val="DefaultParagraphFont"/>
    <w:link w:val="BalloonText"/>
    <w:uiPriority w:val="99"/>
    <w:semiHidden/>
    <w:rsid w:val="00B241AA"/>
    <w:rPr>
      <w:rFonts w:ascii="Tahoma" w:hAnsi="Tahoma" w:cs="Tahoma"/>
      <w:sz w:val="16"/>
      <w:szCs w:val="16"/>
    </w:rPr>
  </w:style>
  <w:style w:type="paragraph" w:styleId="DocumentMap">
    <w:name w:val="Document Map"/>
    <w:basedOn w:val="Normal"/>
    <w:link w:val="DocumentMapChar"/>
    <w:uiPriority w:val="99"/>
    <w:semiHidden/>
    <w:unhideWhenUsed/>
    <w:rsid w:val="00C16C5E"/>
    <w:rPr>
      <w:rFonts w:ascii="Tahoma" w:hAnsi="Tahoma" w:cs="Tahoma"/>
      <w:sz w:val="16"/>
      <w:szCs w:val="16"/>
    </w:rPr>
  </w:style>
  <w:style w:type="character" w:customStyle="1" w:styleId="DocumentMapChar">
    <w:name w:val="Document Map Char"/>
    <w:basedOn w:val="DefaultParagraphFont"/>
    <w:link w:val="DocumentMap"/>
    <w:uiPriority w:val="99"/>
    <w:semiHidden/>
    <w:rsid w:val="00C16C5E"/>
    <w:rPr>
      <w:rFonts w:ascii="Tahoma" w:hAnsi="Tahoma" w:cs="Tahoma"/>
      <w:sz w:val="16"/>
      <w:szCs w:val="16"/>
    </w:rPr>
  </w:style>
  <w:style w:type="character" w:customStyle="1" w:styleId="Heading1Char">
    <w:name w:val="Heading 1 Char"/>
    <w:basedOn w:val="DefaultParagraphFont"/>
    <w:link w:val="Heading1"/>
    <w:uiPriority w:val="9"/>
    <w:rsid w:val="002C7D67"/>
    <w:rPr>
      <w:rFonts w:ascii="Thorndale" w:eastAsia="HG Mincho Light J" w:hAnsi="Thorndale" w:cs="Arial Unicode MS"/>
      <w:b/>
      <w:bCs/>
      <w:sz w:val="32"/>
      <w:szCs w:val="32"/>
    </w:rPr>
  </w:style>
  <w:style w:type="character" w:customStyle="1" w:styleId="Heading2Char">
    <w:name w:val="Heading 2 Char"/>
    <w:basedOn w:val="DefaultParagraphFont"/>
    <w:link w:val="Heading2"/>
    <w:uiPriority w:val="9"/>
    <w:rsid w:val="002C7D67"/>
    <w:rPr>
      <w:rFonts w:ascii="Albany" w:eastAsia="HG Mincho Light J" w:hAnsi="Albany" w:cs="Arial Unicode MS"/>
      <w:b/>
      <w:bCs/>
      <w:i/>
      <w:iCs/>
      <w:sz w:val="28"/>
      <w:szCs w:val="28"/>
    </w:rPr>
  </w:style>
  <w:style w:type="character" w:customStyle="1" w:styleId="HeaderChar">
    <w:name w:val="Header Char"/>
    <w:basedOn w:val="DefaultParagraphFont"/>
    <w:link w:val="Header"/>
    <w:uiPriority w:val="99"/>
    <w:semiHidden/>
    <w:rsid w:val="002C7D67"/>
    <w:rPr>
      <w:sz w:val="24"/>
      <w:szCs w:val="24"/>
    </w:rPr>
  </w:style>
  <w:style w:type="table" w:styleId="TableGrid">
    <w:name w:val="Table Grid"/>
    <w:basedOn w:val="TableNormal"/>
    <w:rsid w:val="002C7D67"/>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rsid w:val="002C7D67"/>
    <w:rPr>
      <w:sz w:val="24"/>
      <w:szCs w:val="24"/>
    </w:rPr>
  </w:style>
  <w:style w:type="character" w:customStyle="1" w:styleId="FootnoteTextChar">
    <w:name w:val="Footnote Text Char"/>
    <w:basedOn w:val="DefaultParagraphFont"/>
    <w:link w:val="FootnoteText"/>
    <w:uiPriority w:val="99"/>
    <w:rsid w:val="002C7D67"/>
  </w:style>
  <w:style w:type="paragraph" w:styleId="EndnoteText">
    <w:name w:val="endnote text"/>
    <w:basedOn w:val="Normal"/>
    <w:link w:val="EndnoteTextChar"/>
    <w:uiPriority w:val="99"/>
    <w:semiHidden/>
    <w:unhideWhenUsed/>
    <w:rsid w:val="002C7D67"/>
    <w:pPr>
      <w:widowControl/>
      <w:suppressAutoHyphens w:val="0"/>
      <w:spacing w:after="200" w:line="276" w:lineRule="auto"/>
    </w:pPr>
    <w:rPr>
      <w:rFonts w:ascii="Garamond" w:eastAsia="Calibri" w:hAnsi="Garamond"/>
      <w:sz w:val="20"/>
      <w:szCs w:val="20"/>
      <w:lang w:val="en-GB"/>
    </w:rPr>
  </w:style>
  <w:style w:type="character" w:customStyle="1" w:styleId="EndnoteTextChar">
    <w:name w:val="Endnote Text Char"/>
    <w:basedOn w:val="DefaultParagraphFont"/>
    <w:link w:val="EndnoteText"/>
    <w:uiPriority w:val="99"/>
    <w:semiHidden/>
    <w:rsid w:val="002C7D67"/>
    <w:rPr>
      <w:rFonts w:ascii="Garamond" w:eastAsia="Calibri" w:hAnsi="Garamond"/>
      <w:lang w:val="en-GB"/>
    </w:rPr>
  </w:style>
  <w:style w:type="character" w:styleId="CommentReference">
    <w:name w:val="annotation reference"/>
    <w:basedOn w:val="DefaultParagraphFont"/>
    <w:uiPriority w:val="99"/>
    <w:semiHidden/>
    <w:unhideWhenUsed/>
    <w:rsid w:val="002C7D67"/>
    <w:rPr>
      <w:sz w:val="16"/>
      <w:szCs w:val="16"/>
    </w:rPr>
  </w:style>
  <w:style w:type="paragraph" w:styleId="CommentText">
    <w:name w:val="annotation text"/>
    <w:basedOn w:val="Normal"/>
    <w:link w:val="CommentTextChar"/>
    <w:uiPriority w:val="99"/>
    <w:semiHidden/>
    <w:unhideWhenUsed/>
    <w:rsid w:val="002C7D67"/>
    <w:pPr>
      <w:widowControl/>
      <w:suppressAutoHyphens w:val="0"/>
      <w:spacing w:after="200" w:line="276" w:lineRule="auto"/>
    </w:pPr>
    <w:rPr>
      <w:rFonts w:ascii="Garamond" w:eastAsia="Calibri" w:hAnsi="Garamond"/>
      <w:sz w:val="20"/>
      <w:szCs w:val="20"/>
      <w:lang w:val="en-GB"/>
    </w:rPr>
  </w:style>
  <w:style w:type="character" w:customStyle="1" w:styleId="CommentTextChar">
    <w:name w:val="Comment Text Char"/>
    <w:basedOn w:val="DefaultParagraphFont"/>
    <w:link w:val="CommentText"/>
    <w:uiPriority w:val="99"/>
    <w:semiHidden/>
    <w:rsid w:val="002C7D67"/>
    <w:rPr>
      <w:rFonts w:ascii="Garamond" w:eastAsia="Calibri" w:hAnsi="Garamond"/>
      <w:lang w:val="en-GB"/>
    </w:rPr>
  </w:style>
  <w:style w:type="paragraph" w:styleId="CommentSubject">
    <w:name w:val="annotation subject"/>
    <w:basedOn w:val="CommentText"/>
    <w:next w:val="CommentText"/>
    <w:link w:val="CommentSubjectChar"/>
    <w:uiPriority w:val="99"/>
    <w:semiHidden/>
    <w:unhideWhenUsed/>
    <w:rsid w:val="002C7D67"/>
    <w:rPr>
      <w:b/>
      <w:bCs/>
    </w:rPr>
  </w:style>
  <w:style w:type="character" w:customStyle="1" w:styleId="CommentSubjectChar">
    <w:name w:val="Comment Subject Char"/>
    <w:basedOn w:val="CommentTextChar"/>
    <w:link w:val="CommentSubject"/>
    <w:uiPriority w:val="99"/>
    <w:semiHidden/>
    <w:rsid w:val="002C7D67"/>
    <w:rPr>
      <w:b/>
      <w:bCs/>
    </w:rPr>
  </w:style>
  <w:style w:type="character" w:customStyle="1" w:styleId="Heading3Char">
    <w:name w:val="Heading 3 Char"/>
    <w:basedOn w:val="DefaultParagraphFont"/>
    <w:link w:val="Heading3"/>
    <w:rsid w:val="002C7D67"/>
    <w:rPr>
      <w:rFonts w:ascii="Albany" w:eastAsia="HG Mincho Light J" w:hAnsi="Albany" w:cs="Arial Unicode MS"/>
      <w:b/>
      <w:bCs/>
      <w:sz w:val="26"/>
      <w:szCs w:val="26"/>
    </w:rPr>
  </w:style>
  <w:style w:type="character" w:customStyle="1" w:styleId="Heading4Char">
    <w:name w:val="Heading 4 Char"/>
    <w:basedOn w:val="DefaultParagraphFont"/>
    <w:link w:val="Heading4"/>
    <w:rsid w:val="002C7D67"/>
    <w:rPr>
      <w:rFonts w:ascii="Albany" w:eastAsia="HG Mincho Light J" w:hAnsi="Albany" w:cs="Arial Unicode MS"/>
      <w:b/>
      <w:bCs/>
      <w:i/>
      <w:iCs/>
      <w:sz w:val="24"/>
      <w:szCs w:val="24"/>
    </w:rPr>
  </w:style>
  <w:style w:type="character" w:customStyle="1" w:styleId="Heading5Char">
    <w:name w:val="Heading 5 Char"/>
    <w:basedOn w:val="DefaultParagraphFont"/>
    <w:link w:val="Heading5"/>
    <w:rsid w:val="002C7D67"/>
    <w:rPr>
      <w:rFonts w:ascii="Albany" w:eastAsia="HG Mincho Light J" w:hAnsi="Albany" w:cs="Arial Unicode MS"/>
      <w:b/>
      <w:bCs/>
      <w:sz w:val="22"/>
      <w:szCs w:val="22"/>
    </w:rPr>
  </w:style>
  <w:style w:type="character" w:customStyle="1" w:styleId="Heading6Char">
    <w:name w:val="Heading 6 Char"/>
    <w:basedOn w:val="DefaultParagraphFont"/>
    <w:link w:val="Heading6"/>
    <w:rsid w:val="002C7D67"/>
    <w:rPr>
      <w:rFonts w:ascii="Albany" w:eastAsia="HG Mincho Light J" w:hAnsi="Albany" w:cs="Arial Unicode MS"/>
      <w:b/>
      <w:bCs/>
    </w:rPr>
  </w:style>
  <w:style w:type="numbering" w:customStyle="1" w:styleId="NoList1">
    <w:name w:val="No List1"/>
    <w:next w:val="NoList"/>
    <w:uiPriority w:val="99"/>
    <w:semiHidden/>
    <w:unhideWhenUsed/>
    <w:rsid w:val="002C7D67"/>
  </w:style>
  <w:style w:type="table" w:customStyle="1" w:styleId="TableGrid1">
    <w:name w:val="Table Grid1"/>
    <w:basedOn w:val="TableNormal"/>
    <w:next w:val="TableGrid"/>
    <w:uiPriority w:val="59"/>
    <w:rsid w:val="002C7D67"/>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2C7D67"/>
  </w:style>
  <w:style w:type="character" w:customStyle="1" w:styleId="c03">
    <w:name w:val="c03"/>
    <w:basedOn w:val="DefaultParagraphFont"/>
    <w:rsid w:val="002C7D67"/>
  </w:style>
  <w:style w:type="character" w:customStyle="1" w:styleId="boldtext">
    <w:name w:val="boldtext"/>
    <w:basedOn w:val="DefaultParagraphFont"/>
    <w:rsid w:val="002C7D67"/>
  </w:style>
  <w:style w:type="character" w:customStyle="1" w:styleId="bodytext0">
    <w:name w:val="bodytext"/>
    <w:basedOn w:val="DefaultParagraphFont"/>
    <w:rsid w:val="002C7D6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8D1D793E-6499-42C4-94AB-64ED98330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Pages>
  <Words>8360</Words>
  <Characters>47655</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dc:creator>
  <cp:keywords/>
  <dc:description/>
  <cp:lastModifiedBy>Christine 2</cp:lastModifiedBy>
  <cp:revision>30</cp:revision>
  <cp:lastPrinted>2113-01-01T00:00:00Z</cp:lastPrinted>
  <dcterms:created xsi:type="dcterms:W3CDTF">2008-11-27T21:50:00Z</dcterms:created>
  <dcterms:modified xsi:type="dcterms:W3CDTF">2009-06-02T19:27:00Z</dcterms:modified>
</cp:coreProperties>
</file>